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1F557" w14:textId="03A1C4E6" w:rsidR="003737A7" w:rsidRPr="003737A7" w:rsidRDefault="003737A7" w:rsidP="003737A7">
      <w:pPr>
        <w:shd w:val="clear" w:color="auto" w:fill="FDE9D9" w:themeFill="accent6" w:themeFillTint="33"/>
        <w:spacing w:before="100" w:beforeAutospacing="1" w:after="100" w:afterAutospacing="1"/>
        <w:jc w:val="center"/>
        <w:rPr>
          <w:rFonts w:ascii="Century Gothic" w:hAnsi="Century Gothic"/>
          <w:b/>
          <w:bCs/>
          <w:sz w:val="32"/>
          <w:szCs w:val="32"/>
        </w:rPr>
      </w:pPr>
      <w:r w:rsidRPr="003737A7">
        <w:rPr>
          <w:rFonts w:ascii="Century Gothic" w:hAnsi="Century Gothic"/>
          <w:b/>
          <w:bCs/>
          <w:sz w:val="32"/>
          <w:szCs w:val="32"/>
        </w:rPr>
        <w:t>INTENÇÃO DE REGISTRO DE PREÇOS (IRP) DE N° 00</w:t>
      </w:r>
      <w:r w:rsidR="00D10F2C">
        <w:rPr>
          <w:rFonts w:ascii="Century Gothic" w:hAnsi="Century Gothic"/>
          <w:b/>
          <w:bCs/>
          <w:sz w:val="32"/>
          <w:szCs w:val="32"/>
        </w:rPr>
        <w:t>2</w:t>
      </w:r>
      <w:r w:rsidRPr="003737A7">
        <w:rPr>
          <w:rFonts w:ascii="Century Gothic" w:hAnsi="Century Gothic"/>
          <w:b/>
          <w:bCs/>
          <w:sz w:val="32"/>
          <w:szCs w:val="32"/>
        </w:rPr>
        <w:t>/2025</w:t>
      </w:r>
    </w:p>
    <w:p w14:paraId="3B581E78" w14:textId="77777777" w:rsidR="003737A7" w:rsidRDefault="003737A7" w:rsidP="003737A7">
      <w:pPr>
        <w:spacing w:before="100" w:beforeAutospacing="1" w:after="100" w:afterAutospacing="1"/>
        <w:jc w:val="both"/>
        <w:rPr>
          <w:rFonts w:ascii="Century Gothic" w:hAnsi="Century Gothic"/>
        </w:rPr>
      </w:pPr>
    </w:p>
    <w:p w14:paraId="72B97D3C" w14:textId="7ED3ACE0" w:rsidR="003737A7" w:rsidRPr="003737A7" w:rsidRDefault="003737A7" w:rsidP="003737A7">
      <w:pPr>
        <w:spacing w:before="100" w:beforeAutospacing="1" w:after="100" w:afterAutospacing="1"/>
        <w:jc w:val="both"/>
        <w:rPr>
          <w:rFonts w:ascii="Century Gothic" w:hAnsi="Century Gothic"/>
        </w:rPr>
      </w:pPr>
      <w:r w:rsidRPr="003737A7">
        <w:rPr>
          <w:rFonts w:ascii="Century Gothic" w:hAnsi="Century Gothic"/>
        </w:rPr>
        <w:t xml:space="preserve">O </w:t>
      </w:r>
      <w:r w:rsidRPr="003737A7">
        <w:rPr>
          <w:rFonts w:ascii="Century Gothic" w:hAnsi="Century Gothic" w:cs="Segoe UI"/>
          <w:b/>
          <w:bCs/>
        </w:rPr>
        <w:t>CONSORCIO PÚBLICO INTERMUNICIPAL DE SAÚDE DO ALTO PARAOPEBA E VALE DO PIRANGA – CISAP-VP</w:t>
      </w:r>
      <w:r w:rsidRPr="003737A7">
        <w:rPr>
          <w:rFonts w:ascii="Century Gothic" w:hAnsi="Century Gothic"/>
        </w:rPr>
        <w:t xml:space="preserve">, constituído na forma de Associação Pública, com personalidade jurídica de direito público e natureza autárquica, inscrito no CNPJ sob o nº </w:t>
      </w:r>
      <w:r w:rsidRPr="003737A7">
        <w:rPr>
          <w:rFonts w:ascii="Century Gothic" w:hAnsi="Century Gothic" w:cs="Segoe UI"/>
        </w:rPr>
        <w:t>02.401.218/0001-83, com sede na Avenida Professor Manoel Martins, nº 521, Apt. 01, Bairro Campo Alegre - Conselheiro Lafaiete–MG, CEP. 36.400-110</w:t>
      </w:r>
      <w:r w:rsidRPr="003737A7">
        <w:rPr>
          <w:rFonts w:ascii="Century Gothic" w:hAnsi="Century Gothic"/>
        </w:rPr>
        <w:t xml:space="preserve">, na condição de Órgão Gerenciador, torna público para </w:t>
      </w:r>
      <w:r w:rsidRPr="003737A7">
        <w:rPr>
          <w:rFonts w:ascii="Century Gothic" w:hAnsi="Century Gothic"/>
          <w:b/>
          <w:bCs/>
          <w:u w:val="single"/>
        </w:rPr>
        <w:t>conhecimento dos entes consorciados</w:t>
      </w:r>
      <w:r w:rsidRPr="003737A7">
        <w:rPr>
          <w:rFonts w:ascii="Century Gothic" w:hAnsi="Century Gothic"/>
        </w:rPr>
        <w:t>, procedimento de Intenção de Registro de Preços (IRP)</w:t>
      </w:r>
      <w:r w:rsidR="008442F9">
        <w:rPr>
          <w:rFonts w:ascii="Century Gothic" w:hAnsi="Century Gothic"/>
        </w:rPr>
        <w:t xml:space="preserve"> nº </w:t>
      </w:r>
      <w:r w:rsidR="008442F9" w:rsidRPr="008442F9">
        <w:rPr>
          <w:rFonts w:ascii="Century Gothic" w:hAnsi="Century Gothic"/>
          <w:b/>
          <w:bCs/>
        </w:rPr>
        <w:t>00</w:t>
      </w:r>
      <w:r w:rsidR="00D10F2C">
        <w:rPr>
          <w:rFonts w:ascii="Century Gothic" w:hAnsi="Century Gothic"/>
          <w:b/>
          <w:bCs/>
        </w:rPr>
        <w:t>2</w:t>
      </w:r>
      <w:r w:rsidR="008442F9" w:rsidRPr="008442F9">
        <w:rPr>
          <w:rFonts w:ascii="Century Gothic" w:hAnsi="Century Gothic"/>
          <w:b/>
          <w:bCs/>
        </w:rPr>
        <w:t>/2025</w:t>
      </w:r>
      <w:r w:rsidRPr="003737A7">
        <w:rPr>
          <w:rFonts w:ascii="Century Gothic" w:hAnsi="Century Gothic"/>
        </w:rPr>
        <w:t>, nos termos do artigo 86, da Lei Nacional n° 14.133/21.</w:t>
      </w:r>
    </w:p>
    <w:p w14:paraId="51065338" w14:textId="44312211" w:rsidR="003737A7" w:rsidRPr="003737A7" w:rsidRDefault="003737A7" w:rsidP="003737A7">
      <w:pPr>
        <w:shd w:val="clear" w:color="auto" w:fill="FDE9D9" w:themeFill="accent6" w:themeFillTint="33"/>
        <w:spacing w:before="100" w:beforeAutospacing="1" w:after="100" w:afterAutospacing="1"/>
        <w:jc w:val="both"/>
        <w:rPr>
          <w:rFonts w:ascii="Century Gothic" w:hAnsi="Century Gothic"/>
          <w:b/>
          <w:bCs/>
        </w:rPr>
      </w:pPr>
      <w:r w:rsidRPr="003737A7">
        <w:rPr>
          <w:rFonts w:ascii="Century Gothic" w:hAnsi="Century Gothic"/>
          <w:b/>
          <w:bCs/>
        </w:rPr>
        <w:t>1. OBJETO</w:t>
      </w:r>
      <w:r w:rsidR="008442F9">
        <w:rPr>
          <w:rFonts w:ascii="Century Gothic" w:hAnsi="Century Gothic"/>
          <w:b/>
          <w:bCs/>
        </w:rPr>
        <w:t xml:space="preserve"> DA INTENÇÃO DE REGISTRO DE PREÇO</w:t>
      </w:r>
    </w:p>
    <w:p w14:paraId="45BF378D" w14:textId="5AE02F65" w:rsidR="003737A7" w:rsidRDefault="003737A7" w:rsidP="003737A7">
      <w:pPr>
        <w:spacing w:before="100" w:beforeAutospacing="1" w:after="100" w:afterAutospacing="1"/>
        <w:jc w:val="both"/>
        <w:rPr>
          <w:rFonts w:ascii="Century Gothic" w:hAnsi="Century Gothic"/>
        </w:rPr>
      </w:pPr>
      <w:r w:rsidRPr="003737A7">
        <w:rPr>
          <w:rFonts w:ascii="Century Gothic" w:hAnsi="Century Gothic"/>
        </w:rPr>
        <w:t>1.1 O presente procedimento de Intenção de Registro de Preços (IRP)</w:t>
      </w:r>
      <w:r>
        <w:rPr>
          <w:rFonts w:ascii="Century Gothic" w:hAnsi="Century Gothic"/>
        </w:rPr>
        <w:t xml:space="preserve"> nº </w:t>
      </w:r>
      <w:r w:rsidRPr="008442F9">
        <w:rPr>
          <w:rFonts w:ascii="Century Gothic" w:hAnsi="Century Gothic"/>
          <w:b/>
          <w:bCs/>
        </w:rPr>
        <w:t>00</w:t>
      </w:r>
      <w:r w:rsidR="00D10F2C">
        <w:rPr>
          <w:rFonts w:ascii="Century Gothic" w:hAnsi="Century Gothic"/>
          <w:b/>
          <w:bCs/>
        </w:rPr>
        <w:t>2</w:t>
      </w:r>
      <w:r w:rsidRPr="008442F9">
        <w:rPr>
          <w:rFonts w:ascii="Century Gothic" w:hAnsi="Century Gothic"/>
          <w:b/>
          <w:bCs/>
        </w:rPr>
        <w:t>/2025</w:t>
      </w:r>
      <w:r w:rsidRPr="003737A7">
        <w:rPr>
          <w:rFonts w:ascii="Century Gothic" w:hAnsi="Century Gothic"/>
        </w:rPr>
        <w:t>, tem como objeto o</w:t>
      </w:r>
      <w:r>
        <w:rPr>
          <w:rFonts w:ascii="Century Gothic" w:hAnsi="Century Gothic"/>
        </w:rPr>
        <w:t xml:space="preserve"> </w:t>
      </w:r>
      <w:r w:rsidRPr="003737A7">
        <w:rPr>
          <w:rFonts w:ascii="Century Gothic" w:hAnsi="Century Gothic"/>
        </w:rPr>
        <w:t xml:space="preserve">registro de preços para futura e eventual </w:t>
      </w:r>
      <w:r>
        <w:rPr>
          <w:rFonts w:ascii="Century Gothic" w:hAnsi="Century Gothic"/>
        </w:rPr>
        <w:t>a “</w:t>
      </w:r>
      <w:r w:rsidRPr="003737A7">
        <w:rPr>
          <w:rFonts w:ascii="Century Gothic" w:hAnsi="Century Gothic"/>
          <w:b/>
          <w:bCs/>
        </w:rPr>
        <w:t xml:space="preserve">contratação de empresas especializadas </w:t>
      </w:r>
      <w:r w:rsidR="00D10F2C">
        <w:rPr>
          <w:rFonts w:ascii="Century Gothic" w:hAnsi="Century Gothic"/>
          <w:b/>
          <w:bCs/>
        </w:rPr>
        <w:t>no fornecimento de medicamentos, com base no maior percentual de desconto sobre o preço médio do produto inscrito no Banco de Preços do Tribunal de Contas do Estado de Minas Gerais – TCE/MG aos Município que compõem o CISAP-VP</w:t>
      </w:r>
      <w:r>
        <w:rPr>
          <w:rFonts w:ascii="Century Gothic" w:hAnsi="Century Gothic"/>
        </w:rPr>
        <w:t>”.</w:t>
      </w:r>
    </w:p>
    <w:p w14:paraId="67735C3A" w14:textId="24B74F4C" w:rsidR="003737A7" w:rsidRDefault="003737A7" w:rsidP="003737A7">
      <w:pPr>
        <w:spacing w:before="100" w:beforeAutospacing="1" w:after="100" w:afterAutospacing="1"/>
        <w:jc w:val="both"/>
        <w:rPr>
          <w:rFonts w:ascii="Century Gothic" w:hAnsi="Century Gothic"/>
        </w:rPr>
      </w:pPr>
      <w:r w:rsidRPr="003737A7">
        <w:rPr>
          <w:rFonts w:ascii="Century Gothic" w:hAnsi="Century Gothic"/>
        </w:rPr>
        <w:t xml:space="preserve">1.2 </w:t>
      </w:r>
      <w:r w:rsidR="00295F1A">
        <w:rPr>
          <w:rFonts w:ascii="Century Gothic" w:hAnsi="Century Gothic"/>
        </w:rPr>
        <w:t xml:space="preserve">O </w:t>
      </w:r>
      <w:r w:rsidR="00295F1A" w:rsidRPr="003737A7">
        <w:rPr>
          <w:rFonts w:ascii="Century Gothic" w:hAnsi="Century Gothic"/>
        </w:rPr>
        <w:t>procedimento de Intenção de Registro de Preços (IRP)</w:t>
      </w:r>
      <w:r w:rsidR="00295F1A">
        <w:rPr>
          <w:rFonts w:ascii="Century Gothic" w:hAnsi="Century Gothic"/>
        </w:rPr>
        <w:t xml:space="preserve"> </w:t>
      </w:r>
      <w:r w:rsidRPr="003737A7">
        <w:rPr>
          <w:rFonts w:ascii="Century Gothic" w:hAnsi="Century Gothic"/>
        </w:rPr>
        <w:t>não é direcionad</w:t>
      </w:r>
      <w:r w:rsidR="00295F1A">
        <w:rPr>
          <w:rFonts w:ascii="Century Gothic" w:hAnsi="Century Gothic"/>
        </w:rPr>
        <w:t>o</w:t>
      </w:r>
      <w:r w:rsidRPr="003737A7">
        <w:rPr>
          <w:rFonts w:ascii="Century Gothic" w:hAnsi="Century Gothic"/>
        </w:rPr>
        <w:t xml:space="preserve"> a fornecedores</w:t>
      </w:r>
      <w:r w:rsidR="00295F1A">
        <w:rPr>
          <w:rFonts w:ascii="Century Gothic" w:hAnsi="Century Gothic"/>
        </w:rPr>
        <w:t xml:space="preserve"> e sim aos Municípios Consorciados ao CISAP-VP.</w:t>
      </w:r>
    </w:p>
    <w:p w14:paraId="02542476" w14:textId="14A4D441" w:rsidR="00295F1A" w:rsidRDefault="00295F1A" w:rsidP="00295F1A">
      <w:pPr>
        <w:spacing w:before="100" w:beforeAutospacing="1" w:after="100" w:afterAutospacing="1"/>
        <w:jc w:val="both"/>
        <w:rPr>
          <w:rFonts w:ascii="Century Gothic" w:hAnsi="Century Gothic"/>
        </w:rPr>
      </w:pPr>
      <w:r>
        <w:rPr>
          <w:rFonts w:ascii="Century Gothic" w:hAnsi="Century Gothic"/>
        </w:rPr>
        <w:t xml:space="preserve">1.3 Nos termos do </w:t>
      </w:r>
      <w:r w:rsidRPr="003737A7">
        <w:rPr>
          <w:rFonts w:ascii="Century Gothic" w:hAnsi="Century Gothic"/>
        </w:rPr>
        <w:t>artigo 86 da Lei Nacional n° 14.133/21</w:t>
      </w:r>
      <w:r>
        <w:rPr>
          <w:rFonts w:ascii="Century Gothic" w:hAnsi="Century Gothic"/>
        </w:rPr>
        <w:t xml:space="preserve">, o </w:t>
      </w:r>
      <w:r w:rsidRPr="003737A7">
        <w:rPr>
          <w:rFonts w:ascii="Century Gothic" w:hAnsi="Century Gothic"/>
        </w:rPr>
        <w:t>procedimento de Intenção de Registro de Preços (IRP)</w:t>
      </w:r>
      <w:r>
        <w:rPr>
          <w:rFonts w:ascii="Century Gothic" w:hAnsi="Century Gothic"/>
        </w:rPr>
        <w:t xml:space="preserve"> </w:t>
      </w:r>
      <w:r w:rsidRPr="000A707E">
        <w:rPr>
          <w:rFonts w:ascii="Century Gothic" w:hAnsi="Century Gothic"/>
        </w:rPr>
        <w:t xml:space="preserve">consiste em um procedimento que possibilita aos Municípios Consorciados participarem de uma licitação realizada por registro de preços para contratação de um determinado bem ou serviço </w:t>
      </w:r>
      <w:r w:rsidRPr="00295F1A">
        <w:rPr>
          <w:rFonts w:ascii="Century Gothic" w:hAnsi="Century Gothic"/>
          <w:b/>
          <w:bCs/>
        </w:rPr>
        <w:t>sem o compromisso de utilização</w:t>
      </w:r>
      <w:r w:rsidRPr="000A707E">
        <w:rPr>
          <w:rFonts w:ascii="Century Gothic" w:hAnsi="Century Gothic"/>
        </w:rPr>
        <w:t xml:space="preserve">. </w:t>
      </w:r>
    </w:p>
    <w:p w14:paraId="5C23B041" w14:textId="7A3FAEDB" w:rsidR="00295F1A" w:rsidRPr="003737A7" w:rsidRDefault="00295F1A" w:rsidP="00295F1A">
      <w:pPr>
        <w:spacing w:before="100" w:beforeAutospacing="1" w:after="100" w:afterAutospacing="1"/>
        <w:jc w:val="both"/>
        <w:rPr>
          <w:rFonts w:ascii="Century Gothic" w:hAnsi="Century Gothic"/>
        </w:rPr>
      </w:pPr>
      <w:r>
        <w:rPr>
          <w:rFonts w:ascii="Century Gothic" w:hAnsi="Century Gothic"/>
        </w:rPr>
        <w:t xml:space="preserve">1.3.1 </w:t>
      </w:r>
      <w:r w:rsidRPr="000A707E">
        <w:rPr>
          <w:rFonts w:ascii="Century Gothic" w:hAnsi="Century Gothic"/>
        </w:rPr>
        <w:t>A Intenção de Registro de Preços permite ao Município, fornecer os quantitativos, para quantificação de uma eventual demanda futura que possa surgir, possibilitando ao ente público ter uma opção caso precise se utilizar do procedimento licitatório no futuro, que estará pronto e apto a ser disponibilizado.</w:t>
      </w:r>
    </w:p>
    <w:p w14:paraId="4FA5FBDB" w14:textId="071F2AE6" w:rsidR="003737A7" w:rsidRPr="00295F1A" w:rsidRDefault="003737A7" w:rsidP="00295F1A">
      <w:pPr>
        <w:shd w:val="clear" w:color="auto" w:fill="FDE9D9" w:themeFill="accent6" w:themeFillTint="33"/>
        <w:spacing w:before="100" w:beforeAutospacing="1" w:after="100" w:afterAutospacing="1"/>
        <w:jc w:val="both"/>
        <w:rPr>
          <w:rFonts w:ascii="Century Gothic" w:hAnsi="Century Gothic"/>
          <w:b/>
          <w:bCs/>
        </w:rPr>
      </w:pPr>
      <w:r w:rsidRPr="00295F1A">
        <w:rPr>
          <w:rFonts w:ascii="Century Gothic" w:hAnsi="Century Gothic"/>
          <w:b/>
          <w:bCs/>
        </w:rPr>
        <w:t>2. DO PRAZO</w:t>
      </w:r>
      <w:r w:rsidR="008442F9">
        <w:rPr>
          <w:rFonts w:ascii="Century Gothic" w:hAnsi="Century Gothic"/>
          <w:b/>
          <w:bCs/>
        </w:rPr>
        <w:t xml:space="preserve"> E ENVIO DA MANIFESTAÇÃO DE INTERESSE</w:t>
      </w:r>
    </w:p>
    <w:p w14:paraId="4C422846" w14:textId="3EE2FA7C" w:rsidR="003737A7" w:rsidRDefault="003737A7" w:rsidP="003737A7">
      <w:pPr>
        <w:spacing w:before="100" w:beforeAutospacing="1" w:after="100" w:afterAutospacing="1"/>
        <w:jc w:val="both"/>
        <w:rPr>
          <w:rFonts w:ascii="Century Gothic" w:hAnsi="Century Gothic"/>
        </w:rPr>
      </w:pPr>
      <w:r w:rsidRPr="003737A7">
        <w:rPr>
          <w:rFonts w:ascii="Century Gothic" w:hAnsi="Century Gothic"/>
        </w:rPr>
        <w:t>2.1 A apresentação da manifestação de Intenção de Registro de Preços deverá ser</w:t>
      </w:r>
      <w:r w:rsidR="00295F1A">
        <w:rPr>
          <w:rFonts w:ascii="Century Gothic" w:hAnsi="Century Gothic"/>
        </w:rPr>
        <w:t xml:space="preserve"> </w:t>
      </w:r>
      <w:r w:rsidRPr="003737A7">
        <w:rPr>
          <w:rFonts w:ascii="Century Gothic" w:hAnsi="Century Gothic"/>
        </w:rPr>
        <w:t xml:space="preserve">enviada, </w:t>
      </w:r>
      <w:r w:rsidR="00295F1A">
        <w:rPr>
          <w:rFonts w:ascii="Century Gothic" w:hAnsi="Century Gothic"/>
        </w:rPr>
        <w:t xml:space="preserve">pelos Municípios Consorciados, </w:t>
      </w:r>
      <w:r w:rsidRPr="003737A7">
        <w:rPr>
          <w:rFonts w:ascii="Century Gothic" w:hAnsi="Century Gothic"/>
        </w:rPr>
        <w:t xml:space="preserve">impreterivelmente, em até </w:t>
      </w:r>
      <w:r w:rsidRPr="00295F1A">
        <w:rPr>
          <w:rFonts w:ascii="Century Gothic" w:hAnsi="Century Gothic"/>
          <w:b/>
          <w:bCs/>
        </w:rPr>
        <w:t>08 (oito) dias úteis</w:t>
      </w:r>
      <w:r w:rsidRPr="003737A7">
        <w:rPr>
          <w:rFonts w:ascii="Century Gothic" w:hAnsi="Century Gothic"/>
        </w:rPr>
        <w:t>, contados a partir do primeiro</w:t>
      </w:r>
      <w:r w:rsidR="00295F1A">
        <w:rPr>
          <w:rFonts w:ascii="Century Gothic" w:hAnsi="Century Gothic"/>
        </w:rPr>
        <w:t xml:space="preserve"> </w:t>
      </w:r>
      <w:r w:rsidRPr="003737A7">
        <w:rPr>
          <w:rFonts w:ascii="Century Gothic" w:hAnsi="Century Gothic"/>
        </w:rPr>
        <w:t xml:space="preserve">dia útil subsequente </w:t>
      </w:r>
      <w:r w:rsidR="00295F1A">
        <w:rPr>
          <w:rFonts w:ascii="Century Gothic" w:hAnsi="Century Gothic"/>
        </w:rPr>
        <w:t>à</w:t>
      </w:r>
      <w:r w:rsidRPr="003737A7">
        <w:rPr>
          <w:rFonts w:ascii="Century Gothic" w:hAnsi="Century Gothic"/>
        </w:rPr>
        <w:t xml:space="preserve"> divulgação</w:t>
      </w:r>
      <w:r w:rsidR="00295F1A">
        <w:rPr>
          <w:rFonts w:ascii="Century Gothic" w:hAnsi="Century Gothic"/>
        </w:rPr>
        <w:t xml:space="preserve"> deste expediente</w:t>
      </w:r>
      <w:r w:rsidRPr="003737A7">
        <w:rPr>
          <w:rFonts w:ascii="Century Gothic" w:hAnsi="Century Gothic"/>
        </w:rPr>
        <w:t xml:space="preserve">, ou seja, dentre os dias </w:t>
      </w:r>
      <w:r w:rsidR="007C2FFF">
        <w:rPr>
          <w:rFonts w:ascii="Century Gothic" w:hAnsi="Century Gothic"/>
          <w:b/>
          <w:bCs/>
        </w:rPr>
        <w:t>15</w:t>
      </w:r>
      <w:r w:rsidRPr="00295F1A">
        <w:rPr>
          <w:rFonts w:ascii="Century Gothic" w:hAnsi="Century Gothic"/>
          <w:b/>
          <w:bCs/>
        </w:rPr>
        <w:t xml:space="preserve"> de </w:t>
      </w:r>
      <w:r w:rsidR="00D10F2C">
        <w:rPr>
          <w:rFonts w:ascii="Century Gothic" w:hAnsi="Century Gothic"/>
          <w:b/>
          <w:bCs/>
        </w:rPr>
        <w:t>outubro</w:t>
      </w:r>
      <w:r w:rsidRPr="00295F1A">
        <w:rPr>
          <w:rFonts w:ascii="Century Gothic" w:hAnsi="Century Gothic"/>
          <w:b/>
          <w:bCs/>
        </w:rPr>
        <w:t xml:space="preserve"> de</w:t>
      </w:r>
      <w:r w:rsidR="00295F1A" w:rsidRPr="00295F1A">
        <w:rPr>
          <w:rFonts w:ascii="Century Gothic" w:hAnsi="Century Gothic"/>
          <w:b/>
          <w:bCs/>
        </w:rPr>
        <w:t xml:space="preserve"> </w:t>
      </w:r>
      <w:r w:rsidRPr="00295F1A">
        <w:rPr>
          <w:rFonts w:ascii="Century Gothic" w:hAnsi="Century Gothic"/>
          <w:b/>
          <w:bCs/>
        </w:rPr>
        <w:t xml:space="preserve">2025 </w:t>
      </w:r>
      <w:r w:rsidR="00295F1A">
        <w:rPr>
          <w:rFonts w:ascii="Century Gothic" w:hAnsi="Century Gothic"/>
          <w:b/>
          <w:bCs/>
        </w:rPr>
        <w:t>a</w:t>
      </w:r>
      <w:r w:rsidRPr="00295F1A">
        <w:rPr>
          <w:rFonts w:ascii="Century Gothic" w:hAnsi="Century Gothic"/>
          <w:b/>
          <w:bCs/>
        </w:rPr>
        <w:t xml:space="preserve"> </w:t>
      </w:r>
      <w:r w:rsidR="007C2FFF">
        <w:rPr>
          <w:rFonts w:ascii="Century Gothic" w:hAnsi="Century Gothic"/>
          <w:b/>
          <w:bCs/>
        </w:rPr>
        <w:t>27</w:t>
      </w:r>
      <w:r w:rsidRPr="00295F1A">
        <w:rPr>
          <w:rFonts w:ascii="Century Gothic" w:hAnsi="Century Gothic"/>
          <w:b/>
          <w:bCs/>
        </w:rPr>
        <w:t xml:space="preserve"> de </w:t>
      </w:r>
      <w:r w:rsidR="007C2FFF">
        <w:rPr>
          <w:rFonts w:ascii="Century Gothic" w:hAnsi="Century Gothic"/>
          <w:b/>
          <w:bCs/>
        </w:rPr>
        <w:t>outu</w:t>
      </w:r>
      <w:r w:rsidR="00957995">
        <w:rPr>
          <w:rFonts w:ascii="Century Gothic" w:hAnsi="Century Gothic"/>
          <w:b/>
          <w:bCs/>
        </w:rPr>
        <w:t>bro</w:t>
      </w:r>
      <w:r w:rsidRPr="00295F1A">
        <w:rPr>
          <w:rFonts w:ascii="Century Gothic" w:hAnsi="Century Gothic"/>
          <w:b/>
          <w:bCs/>
        </w:rPr>
        <w:t xml:space="preserve"> de 2025</w:t>
      </w:r>
      <w:r w:rsidRPr="003737A7">
        <w:rPr>
          <w:rFonts w:ascii="Century Gothic" w:hAnsi="Century Gothic"/>
        </w:rPr>
        <w:t>.</w:t>
      </w:r>
      <w:bookmarkStart w:id="0" w:name="_GoBack"/>
      <w:bookmarkEnd w:id="0"/>
    </w:p>
    <w:p w14:paraId="1E257A02" w14:textId="649CA35A" w:rsidR="00295F1A" w:rsidRDefault="00295F1A" w:rsidP="003737A7">
      <w:pPr>
        <w:spacing w:before="100" w:beforeAutospacing="1" w:after="100" w:afterAutospacing="1"/>
        <w:jc w:val="both"/>
        <w:rPr>
          <w:rFonts w:ascii="Century Gothic" w:hAnsi="Century Gothic"/>
          <w:shd w:val="clear" w:color="auto" w:fill="FFFFFF"/>
        </w:rPr>
      </w:pPr>
      <w:r>
        <w:rPr>
          <w:rFonts w:ascii="Century Gothic" w:hAnsi="Century Gothic"/>
        </w:rPr>
        <w:lastRenderedPageBreak/>
        <w:t xml:space="preserve">2.2 Tal manifestação será </w:t>
      </w:r>
      <w:r w:rsidRPr="00295F1A">
        <w:rPr>
          <w:rFonts w:ascii="Century Gothic" w:hAnsi="Century Gothic"/>
        </w:rPr>
        <w:t>encaminhada para o</w:t>
      </w:r>
      <w:r w:rsidR="008A6423">
        <w:rPr>
          <w:rFonts w:ascii="Century Gothic" w:hAnsi="Century Gothic"/>
        </w:rPr>
        <w:t>s</w:t>
      </w:r>
      <w:r w:rsidRPr="00295F1A">
        <w:rPr>
          <w:rFonts w:ascii="Century Gothic" w:hAnsi="Century Gothic"/>
        </w:rPr>
        <w:t xml:space="preserve"> e-mail</w:t>
      </w:r>
      <w:r w:rsidR="008A6423">
        <w:rPr>
          <w:rFonts w:ascii="Century Gothic" w:hAnsi="Century Gothic"/>
        </w:rPr>
        <w:t>s</w:t>
      </w:r>
      <w:r w:rsidRPr="00295F1A">
        <w:rPr>
          <w:rFonts w:ascii="Century Gothic" w:hAnsi="Century Gothic"/>
        </w:rPr>
        <w:t xml:space="preserve">: </w:t>
      </w:r>
      <w:hyperlink r:id="rId8" w:history="1">
        <w:r w:rsidR="008A6423" w:rsidRPr="00C47534">
          <w:rPr>
            <w:rStyle w:val="Hyperlink"/>
            <w:rFonts w:ascii="Century Gothic" w:hAnsi="Century Gothic"/>
          </w:rPr>
          <w:t>cisapvpdepartamento1@gmail.com</w:t>
        </w:r>
      </w:hyperlink>
      <w:r w:rsidR="008A6423">
        <w:rPr>
          <w:rFonts w:ascii="Century Gothic" w:hAnsi="Century Gothic"/>
        </w:rPr>
        <w:t xml:space="preserve"> e </w:t>
      </w:r>
      <w:hyperlink r:id="rId9" w:history="1">
        <w:r w:rsidR="008C6190" w:rsidRPr="00C934F3">
          <w:rPr>
            <w:rStyle w:val="Hyperlink"/>
            <w:rFonts w:ascii="Century Gothic" w:hAnsi="Century Gothic"/>
            <w:shd w:val="clear" w:color="auto" w:fill="FFFFFF"/>
          </w:rPr>
          <w:t>assessoriacisap@gmail.com</w:t>
        </w:r>
      </w:hyperlink>
    </w:p>
    <w:p w14:paraId="210FE68A" w14:textId="41B4603A" w:rsidR="003737A7" w:rsidRPr="00295F1A" w:rsidRDefault="003737A7" w:rsidP="00295F1A">
      <w:pPr>
        <w:shd w:val="clear" w:color="auto" w:fill="FDE9D9" w:themeFill="accent6" w:themeFillTint="33"/>
        <w:spacing w:before="100" w:beforeAutospacing="1" w:after="100" w:afterAutospacing="1"/>
        <w:jc w:val="both"/>
        <w:rPr>
          <w:rFonts w:ascii="Century Gothic" w:hAnsi="Century Gothic"/>
          <w:b/>
          <w:bCs/>
        </w:rPr>
      </w:pPr>
      <w:r w:rsidRPr="00295F1A">
        <w:rPr>
          <w:rFonts w:ascii="Century Gothic" w:hAnsi="Century Gothic"/>
          <w:b/>
          <w:bCs/>
        </w:rPr>
        <w:t>3. D</w:t>
      </w:r>
      <w:r w:rsidR="00A95CBE">
        <w:rPr>
          <w:rFonts w:ascii="Century Gothic" w:hAnsi="Century Gothic"/>
          <w:b/>
          <w:bCs/>
        </w:rPr>
        <w:t xml:space="preserve">ISPOSIÇÕES GERAIS DA </w:t>
      </w:r>
      <w:r w:rsidR="008442F9">
        <w:rPr>
          <w:rFonts w:ascii="Century Gothic" w:hAnsi="Century Gothic"/>
          <w:b/>
          <w:bCs/>
        </w:rPr>
        <w:t>MANIFESTAÇÃO DE INTERESSE</w:t>
      </w:r>
    </w:p>
    <w:p w14:paraId="63B3E3C4" w14:textId="3BB7BC2D" w:rsidR="003737A7" w:rsidRPr="003737A7" w:rsidRDefault="003737A7" w:rsidP="003737A7">
      <w:pPr>
        <w:spacing w:before="100" w:beforeAutospacing="1" w:after="100" w:afterAutospacing="1"/>
        <w:jc w:val="both"/>
        <w:rPr>
          <w:rFonts w:ascii="Century Gothic" w:hAnsi="Century Gothic"/>
        </w:rPr>
      </w:pPr>
      <w:r w:rsidRPr="003737A7">
        <w:rPr>
          <w:rFonts w:ascii="Century Gothic" w:hAnsi="Century Gothic"/>
        </w:rPr>
        <w:t>3.1 Para o presente objeto</w:t>
      </w:r>
      <w:r w:rsidR="00295F1A">
        <w:rPr>
          <w:rFonts w:ascii="Century Gothic" w:hAnsi="Century Gothic"/>
        </w:rPr>
        <w:t>,</w:t>
      </w:r>
      <w:r w:rsidRPr="003737A7">
        <w:rPr>
          <w:rFonts w:ascii="Century Gothic" w:hAnsi="Century Gothic"/>
        </w:rPr>
        <w:t xml:space="preserve"> o Consórcio destinará sua capacidade operacional </w:t>
      </w:r>
      <w:r w:rsidR="00295F1A">
        <w:rPr>
          <w:rFonts w:ascii="Century Gothic" w:hAnsi="Century Gothic"/>
        </w:rPr>
        <w:t xml:space="preserve">em </w:t>
      </w:r>
      <w:r w:rsidRPr="003737A7">
        <w:rPr>
          <w:rFonts w:ascii="Century Gothic" w:hAnsi="Century Gothic"/>
        </w:rPr>
        <w:t>atender exclusivamente aos seus entes consorciados, o que justifica a não realização</w:t>
      </w:r>
      <w:r w:rsidR="00295F1A">
        <w:rPr>
          <w:rFonts w:ascii="Century Gothic" w:hAnsi="Century Gothic"/>
        </w:rPr>
        <w:t xml:space="preserve"> </w:t>
      </w:r>
      <w:r w:rsidRPr="003737A7">
        <w:rPr>
          <w:rFonts w:ascii="Century Gothic" w:hAnsi="Century Gothic"/>
        </w:rPr>
        <w:t>de procedimento aberto aos demais entes da federação.</w:t>
      </w:r>
    </w:p>
    <w:p w14:paraId="23D5FD59" w14:textId="0FC30FBA" w:rsidR="003737A7" w:rsidRPr="003737A7" w:rsidRDefault="003737A7" w:rsidP="003737A7">
      <w:pPr>
        <w:spacing w:before="100" w:beforeAutospacing="1" w:after="100" w:afterAutospacing="1"/>
        <w:jc w:val="both"/>
        <w:rPr>
          <w:rFonts w:ascii="Century Gothic" w:hAnsi="Century Gothic"/>
        </w:rPr>
      </w:pPr>
      <w:r w:rsidRPr="003737A7">
        <w:rPr>
          <w:rFonts w:ascii="Century Gothic" w:hAnsi="Century Gothic"/>
        </w:rPr>
        <w:t xml:space="preserve">3.2 O procedimento será destinado exclusivamente aos </w:t>
      </w:r>
      <w:r w:rsidR="00295F1A">
        <w:rPr>
          <w:rFonts w:ascii="Century Gothic" w:hAnsi="Century Gothic"/>
        </w:rPr>
        <w:t>M</w:t>
      </w:r>
      <w:r w:rsidRPr="003737A7">
        <w:rPr>
          <w:rFonts w:ascii="Century Gothic" w:hAnsi="Century Gothic"/>
        </w:rPr>
        <w:t xml:space="preserve">unicípios </w:t>
      </w:r>
      <w:r w:rsidR="00295F1A">
        <w:rPr>
          <w:rFonts w:ascii="Century Gothic" w:hAnsi="Century Gothic"/>
        </w:rPr>
        <w:t>C</w:t>
      </w:r>
      <w:r w:rsidRPr="003737A7">
        <w:rPr>
          <w:rFonts w:ascii="Century Gothic" w:hAnsi="Century Gothic"/>
        </w:rPr>
        <w:t>onsorciados, e o</w:t>
      </w:r>
      <w:r w:rsidR="00295F1A">
        <w:rPr>
          <w:rFonts w:ascii="Century Gothic" w:hAnsi="Century Gothic"/>
        </w:rPr>
        <w:t xml:space="preserve"> </w:t>
      </w:r>
      <w:r w:rsidRPr="003737A7">
        <w:rPr>
          <w:rFonts w:ascii="Century Gothic" w:hAnsi="Century Gothic"/>
        </w:rPr>
        <w:t>prazo de vigência da</w:t>
      </w:r>
      <w:r w:rsidR="00295F1A">
        <w:rPr>
          <w:rFonts w:ascii="Century Gothic" w:hAnsi="Century Gothic"/>
        </w:rPr>
        <w:t>s futuras</w:t>
      </w:r>
      <w:r w:rsidRPr="003737A7">
        <w:rPr>
          <w:rFonts w:ascii="Century Gothic" w:hAnsi="Century Gothic"/>
        </w:rPr>
        <w:t xml:space="preserve"> Ata</w:t>
      </w:r>
      <w:r w:rsidR="00295F1A">
        <w:rPr>
          <w:rFonts w:ascii="Century Gothic" w:hAnsi="Century Gothic"/>
        </w:rPr>
        <w:t>s</w:t>
      </w:r>
      <w:r w:rsidRPr="003737A7">
        <w:rPr>
          <w:rFonts w:ascii="Century Gothic" w:hAnsi="Century Gothic"/>
        </w:rPr>
        <w:t xml:space="preserve"> de Registro de Preço oriunda</w:t>
      </w:r>
      <w:r w:rsidR="00295F1A">
        <w:rPr>
          <w:rFonts w:ascii="Century Gothic" w:hAnsi="Century Gothic"/>
        </w:rPr>
        <w:t>s deste procedimento</w:t>
      </w:r>
      <w:r w:rsidRPr="003737A7">
        <w:rPr>
          <w:rFonts w:ascii="Century Gothic" w:hAnsi="Century Gothic"/>
        </w:rPr>
        <w:t>, ser</w:t>
      </w:r>
      <w:r w:rsidR="00295F1A">
        <w:rPr>
          <w:rFonts w:ascii="Century Gothic" w:hAnsi="Century Gothic"/>
        </w:rPr>
        <w:t>ão</w:t>
      </w:r>
      <w:r w:rsidRPr="003737A7">
        <w:rPr>
          <w:rFonts w:ascii="Century Gothic" w:hAnsi="Century Gothic"/>
        </w:rPr>
        <w:t xml:space="preserve"> de 1</w:t>
      </w:r>
      <w:r w:rsidR="00295F1A">
        <w:rPr>
          <w:rFonts w:ascii="Century Gothic" w:hAnsi="Century Gothic"/>
        </w:rPr>
        <w:t xml:space="preserve"> </w:t>
      </w:r>
      <w:r w:rsidRPr="003737A7">
        <w:rPr>
          <w:rFonts w:ascii="Century Gothic" w:hAnsi="Century Gothic"/>
        </w:rPr>
        <w:t>(um) ano, podendo ser prorrogada</w:t>
      </w:r>
      <w:r w:rsidR="008442F9">
        <w:rPr>
          <w:rFonts w:ascii="Century Gothic" w:hAnsi="Century Gothic"/>
        </w:rPr>
        <w:t>s</w:t>
      </w:r>
      <w:r w:rsidRPr="003737A7">
        <w:rPr>
          <w:rFonts w:ascii="Century Gothic" w:hAnsi="Century Gothic"/>
        </w:rPr>
        <w:t xml:space="preserve"> por igual período, desde que comprovada a</w:t>
      </w:r>
      <w:r w:rsidR="00295F1A">
        <w:rPr>
          <w:rFonts w:ascii="Century Gothic" w:hAnsi="Century Gothic"/>
        </w:rPr>
        <w:t xml:space="preserve"> </w:t>
      </w:r>
      <w:r w:rsidRPr="003737A7">
        <w:rPr>
          <w:rFonts w:ascii="Century Gothic" w:hAnsi="Century Gothic"/>
        </w:rPr>
        <w:t xml:space="preserve">vantajosidade, nos termos do </w:t>
      </w:r>
      <w:r w:rsidR="00295F1A">
        <w:rPr>
          <w:rFonts w:ascii="Century Gothic" w:hAnsi="Century Gothic"/>
        </w:rPr>
        <w:t xml:space="preserve">caput do artigo 84 </w:t>
      </w:r>
      <w:r w:rsidRPr="003737A7">
        <w:rPr>
          <w:rFonts w:ascii="Century Gothic" w:hAnsi="Century Gothic"/>
        </w:rPr>
        <w:t xml:space="preserve">da Lei </w:t>
      </w:r>
      <w:r w:rsidR="00295F1A">
        <w:rPr>
          <w:rFonts w:ascii="Century Gothic" w:hAnsi="Century Gothic"/>
        </w:rPr>
        <w:t>Nacional</w:t>
      </w:r>
      <w:r w:rsidRPr="003737A7">
        <w:rPr>
          <w:rFonts w:ascii="Century Gothic" w:hAnsi="Century Gothic"/>
        </w:rPr>
        <w:t xml:space="preserve"> n° 14.133/2021.</w:t>
      </w:r>
    </w:p>
    <w:p w14:paraId="6364FF18" w14:textId="037F4DA5" w:rsidR="003737A7" w:rsidRDefault="003737A7" w:rsidP="003737A7">
      <w:pPr>
        <w:spacing w:before="100" w:beforeAutospacing="1" w:after="100" w:afterAutospacing="1"/>
        <w:jc w:val="both"/>
        <w:rPr>
          <w:rFonts w:ascii="Century Gothic" w:hAnsi="Century Gothic"/>
        </w:rPr>
      </w:pPr>
      <w:r w:rsidRPr="003737A7">
        <w:rPr>
          <w:rFonts w:ascii="Century Gothic" w:hAnsi="Century Gothic"/>
        </w:rPr>
        <w:t xml:space="preserve">3.3 Todo o processo de IRP será operacionalizado pelo Consórcio </w:t>
      </w:r>
      <w:r w:rsidR="00295F1A">
        <w:rPr>
          <w:rFonts w:ascii="Century Gothic" w:hAnsi="Century Gothic"/>
        </w:rPr>
        <w:t>CISAP-VP.</w:t>
      </w:r>
    </w:p>
    <w:p w14:paraId="57BB4D12" w14:textId="77777777" w:rsidR="008442F9" w:rsidRDefault="003737A7" w:rsidP="008442F9">
      <w:pPr>
        <w:spacing w:before="100" w:beforeAutospacing="1" w:after="100" w:afterAutospacing="1"/>
        <w:jc w:val="both"/>
        <w:rPr>
          <w:rFonts w:ascii="Century Gothic" w:hAnsi="Century Gothic"/>
        </w:rPr>
      </w:pPr>
      <w:r w:rsidRPr="003737A7">
        <w:rPr>
          <w:rFonts w:ascii="Century Gothic" w:hAnsi="Century Gothic"/>
        </w:rPr>
        <w:t>3.4 Não há um número máximo de participantes</w:t>
      </w:r>
      <w:r w:rsidR="008442F9">
        <w:rPr>
          <w:rFonts w:ascii="Century Gothic" w:hAnsi="Century Gothic"/>
        </w:rPr>
        <w:t>;</w:t>
      </w:r>
      <w:r w:rsidRPr="003737A7">
        <w:rPr>
          <w:rFonts w:ascii="Century Gothic" w:hAnsi="Century Gothic"/>
        </w:rPr>
        <w:t xml:space="preserve"> qualquer órgão consorciado poderá</w:t>
      </w:r>
      <w:r w:rsidR="008442F9">
        <w:rPr>
          <w:rFonts w:ascii="Century Gothic" w:hAnsi="Century Gothic"/>
        </w:rPr>
        <w:t xml:space="preserve"> encaminhar sua demanda e participar do</w:t>
      </w:r>
      <w:r w:rsidRPr="003737A7">
        <w:rPr>
          <w:rFonts w:ascii="Century Gothic" w:hAnsi="Century Gothic"/>
        </w:rPr>
        <w:t xml:space="preserve"> registro.</w:t>
      </w:r>
    </w:p>
    <w:p w14:paraId="61631DA4" w14:textId="493F0393" w:rsidR="008442F9" w:rsidRDefault="008442F9" w:rsidP="008442F9">
      <w:pPr>
        <w:spacing w:before="100" w:beforeAutospacing="1" w:after="100" w:afterAutospacing="1"/>
        <w:jc w:val="both"/>
        <w:rPr>
          <w:rFonts w:ascii="Century Gothic" w:hAnsi="Century Gothic"/>
        </w:rPr>
      </w:pPr>
      <w:r>
        <w:rPr>
          <w:rFonts w:ascii="Century Gothic" w:hAnsi="Century Gothic"/>
        </w:rPr>
        <w:t xml:space="preserve">3.5 O CISAP-VP </w:t>
      </w:r>
      <w:r w:rsidRPr="008442F9">
        <w:rPr>
          <w:rFonts w:ascii="Century Gothic" w:hAnsi="Century Gothic"/>
        </w:rPr>
        <w:t>se rese</w:t>
      </w:r>
      <w:r>
        <w:rPr>
          <w:rFonts w:ascii="Century Gothic" w:hAnsi="Century Gothic"/>
        </w:rPr>
        <w:t>r</w:t>
      </w:r>
      <w:r w:rsidRPr="008442F9">
        <w:rPr>
          <w:rFonts w:ascii="Century Gothic" w:hAnsi="Century Gothic"/>
        </w:rPr>
        <w:t xml:space="preserve">va </w:t>
      </w:r>
      <w:r>
        <w:rPr>
          <w:rFonts w:ascii="Century Gothic" w:hAnsi="Century Gothic"/>
        </w:rPr>
        <w:t>n</w:t>
      </w:r>
      <w:r w:rsidRPr="008442F9">
        <w:rPr>
          <w:rFonts w:ascii="Century Gothic" w:hAnsi="Century Gothic"/>
        </w:rPr>
        <w:t>o direi</w:t>
      </w:r>
      <w:r>
        <w:rPr>
          <w:rFonts w:ascii="Century Gothic" w:hAnsi="Century Gothic"/>
        </w:rPr>
        <w:t>t</w:t>
      </w:r>
      <w:r w:rsidRPr="008442F9">
        <w:rPr>
          <w:rFonts w:ascii="Century Gothic" w:hAnsi="Century Gothic"/>
        </w:rPr>
        <w:t>o de aceitar ou recusar, de forma justificada, os</w:t>
      </w:r>
      <w:r>
        <w:rPr>
          <w:rFonts w:ascii="Century Gothic" w:hAnsi="Century Gothic"/>
        </w:rPr>
        <w:t xml:space="preserve"> </w:t>
      </w:r>
      <w:r w:rsidRPr="008442F9">
        <w:rPr>
          <w:rFonts w:ascii="Century Gothic" w:hAnsi="Century Gothic"/>
        </w:rPr>
        <w:t>quantitativos considerados ínfimos ou superestimados, bem como a inclusão de novos</w:t>
      </w:r>
      <w:r>
        <w:rPr>
          <w:rFonts w:ascii="Century Gothic" w:hAnsi="Century Gothic"/>
        </w:rPr>
        <w:t xml:space="preserve"> </w:t>
      </w:r>
      <w:r w:rsidRPr="008442F9">
        <w:rPr>
          <w:rFonts w:ascii="Century Gothic" w:hAnsi="Century Gothic"/>
        </w:rPr>
        <w:t>itens na IRP.</w:t>
      </w:r>
    </w:p>
    <w:p w14:paraId="3ADFFDC6" w14:textId="33153B0C" w:rsidR="008442F9" w:rsidRDefault="008442F9" w:rsidP="008442F9">
      <w:pPr>
        <w:spacing w:before="100" w:beforeAutospacing="1" w:after="100" w:afterAutospacing="1"/>
        <w:jc w:val="both"/>
        <w:rPr>
          <w:rFonts w:ascii="Century Gothic" w:hAnsi="Century Gothic"/>
        </w:rPr>
      </w:pPr>
      <w:r>
        <w:rPr>
          <w:rFonts w:ascii="Century Gothic" w:hAnsi="Century Gothic"/>
        </w:rPr>
        <w:t>3.6 A presente Intenção de Registro de Preço</w:t>
      </w:r>
      <w:r w:rsidRPr="000A707E">
        <w:rPr>
          <w:rFonts w:ascii="Century Gothic" w:hAnsi="Century Gothic"/>
        </w:rPr>
        <w:t xml:space="preserve"> será divulgada no site oficial do </w:t>
      </w:r>
      <w:r>
        <w:rPr>
          <w:rFonts w:ascii="Century Gothic" w:hAnsi="Century Gothic"/>
        </w:rPr>
        <w:t xml:space="preserve">CISAP-VP, qual seja: </w:t>
      </w:r>
      <w:hyperlink r:id="rId10" w:history="1">
        <w:r w:rsidRPr="003D3A17">
          <w:rPr>
            <w:rStyle w:val="Hyperlink"/>
            <w:rFonts w:ascii="Century Gothic" w:hAnsi="Century Gothic"/>
          </w:rPr>
          <w:t>https://www.cisapvp.com.br/</w:t>
        </w:r>
      </w:hyperlink>
      <w:r>
        <w:rPr>
          <w:rFonts w:ascii="Century Gothic" w:hAnsi="Century Gothic"/>
        </w:rPr>
        <w:t xml:space="preserve"> </w:t>
      </w:r>
    </w:p>
    <w:p w14:paraId="50870B3B" w14:textId="4566CC55" w:rsidR="008442F9" w:rsidRDefault="008442F9" w:rsidP="008442F9">
      <w:pPr>
        <w:spacing w:before="100" w:beforeAutospacing="1" w:after="100" w:afterAutospacing="1"/>
        <w:jc w:val="both"/>
        <w:rPr>
          <w:rFonts w:ascii="Century Gothic" w:hAnsi="Century Gothic"/>
        </w:rPr>
      </w:pPr>
      <w:r>
        <w:rPr>
          <w:rFonts w:ascii="Century Gothic" w:hAnsi="Century Gothic"/>
        </w:rPr>
        <w:t xml:space="preserve">3.7 O CISAP-VP somente avançará para o futuro processo licitatório de registro de preço, se houver a demanda apresenta pelos Municípios Consorciados, fruto do presente </w:t>
      </w:r>
      <w:r w:rsidRPr="003737A7">
        <w:rPr>
          <w:rFonts w:ascii="Century Gothic" w:hAnsi="Century Gothic"/>
        </w:rPr>
        <w:t>procedimento de Intenção de Registro de Preços (IRP)</w:t>
      </w:r>
      <w:r>
        <w:rPr>
          <w:rFonts w:ascii="Century Gothic" w:hAnsi="Century Gothic"/>
        </w:rPr>
        <w:t xml:space="preserve"> nº </w:t>
      </w:r>
      <w:r w:rsidRPr="008442F9">
        <w:rPr>
          <w:rFonts w:ascii="Century Gothic" w:hAnsi="Century Gothic"/>
          <w:b/>
          <w:bCs/>
        </w:rPr>
        <w:t>00</w:t>
      </w:r>
      <w:r w:rsidR="00D10F2C">
        <w:rPr>
          <w:rFonts w:ascii="Century Gothic" w:hAnsi="Century Gothic"/>
          <w:b/>
          <w:bCs/>
        </w:rPr>
        <w:t>2</w:t>
      </w:r>
      <w:r w:rsidRPr="008442F9">
        <w:rPr>
          <w:rFonts w:ascii="Century Gothic" w:hAnsi="Century Gothic"/>
          <w:b/>
          <w:bCs/>
        </w:rPr>
        <w:t>/2025</w:t>
      </w:r>
    </w:p>
    <w:p w14:paraId="35046CE3" w14:textId="0EA8C839" w:rsidR="008442F9" w:rsidRDefault="008442F9" w:rsidP="008442F9">
      <w:pPr>
        <w:spacing w:before="100" w:beforeAutospacing="1" w:after="100" w:afterAutospacing="1"/>
        <w:jc w:val="both"/>
        <w:rPr>
          <w:rFonts w:ascii="Century Gothic" w:hAnsi="Century Gothic"/>
          <w:shd w:val="clear" w:color="auto" w:fill="FFFFFF"/>
        </w:rPr>
      </w:pPr>
      <w:r w:rsidRPr="008442F9">
        <w:rPr>
          <w:rFonts w:ascii="Century Gothic" w:hAnsi="Century Gothic"/>
        </w:rPr>
        <w:t>3.</w:t>
      </w:r>
      <w:r>
        <w:rPr>
          <w:rFonts w:ascii="Century Gothic" w:hAnsi="Century Gothic"/>
        </w:rPr>
        <w:t>8</w:t>
      </w:r>
      <w:r w:rsidRPr="008442F9">
        <w:rPr>
          <w:rFonts w:ascii="Century Gothic" w:hAnsi="Century Gothic"/>
        </w:rPr>
        <w:t xml:space="preserve"> Dúvidas ou solicitações de esclarecimentos poderão ser enviadas através </w:t>
      </w:r>
      <w:r w:rsidR="00FE6D28">
        <w:rPr>
          <w:rFonts w:ascii="Century Gothic" w:hAnsi="Century Gothic"/>
        </w:rPr>
        <w:t>d</w:t>
      </w:r>
      <w:r>
        <w:rPr>
          <w:rFonts w:ascii="Century Gothic" w:hAnsi="Century Gothic"/>
        </w:rPr>
        <w:t>o</w:t>
      </w:r>
      <w:r w:rsidR="00FE6D28">
        <w:rPr>
          <w:rFonts w:ascii="Century Gothic" w:hAnsi="Century Gothic"/>
        </w:rPr>
        <w:t>s</w:t>
      </w:r>
      <w:r>
        <w:rPr>
          <w:rFonts w:ascii="Century Gothic" w:hAnsi="Century Gothic"/>
        </w:rPr>
        <w:t xml:space="preserve"> e-mail </w:t>
      </w:r>
      <w:hyperlink r:id="rId11" w:history="1">
        <w:r w:rsidRPr="003D3A17">
          <w:rPr>
            <w:rStyle w:val="Hyperlink"/>
            <w:rFonts w:ascii="Century Gothic" w:hAnsi="Century Gothic"/>
            <w:shd w:val="clear" w:color="auto" w:fill="FFFFFF"/>
          </w:rPr>
          <w:t>cisapvplicitacao@gmail.com</w:t>
        </w:r>
      </w:hyperlink>
      <w:r w:rsidR="00FE6D28">
        <w:rPr>
          <w:rStyle w:val="Hyperlink"/>
          <w:rFonts w:ascii="Century Gothic" w:hAnsi="Century Gothic"/>
          <w:shd w:val="clear" w:color="auto" w:fill="FFFFFF"/>
        </w:rPr>
        <w:t xml:space="preserve">/ </w:t>
      </w:r>
      <w:hyperlink r:id="rId12" w:history="1">
        <w:r w:rsidR="008A6423" w:rsidRPr="00C47534">
          <w:rPr>
            <w:rStyle w:val="Hyperlink"/>
            <w:rFonts w:ascii="Century Gothic" w:hAnsi="Century Gothic"/>
            <w:shd w:val="clear" w:color="auto" w:fill="FFFFFF"/>
          </w:rPr>
          <w:t>cisapvpdepartamento1@gmail.com</w:t>
        </w:r>
      </w:hyperlink>
      <w:r w:rsidR="008A6423">
        <w:rPr>
          <w:rStyle w:val="Hyperlink"/>
          <w:rFonts w:ascii="Century Gothic" w:hAnsi="Century Gothic"/>
          <w:shd w:val="clear" w:color="auto" w:fill="FFFFFF"/>
        </w:rPr>
        <w:t xml:space="preserve"> / </w:t>
      </w:r>
      <w:hyperlink r:id="rId13" w:history="1">
        <w:r w:rsidR="008A6423" w:rsidRPr="00C47534">
          <w:rPr>
            <w:rStyle w:val="Hyperlink"/>
            <w:rFonts w:ascii="Century Gothic" w:hAnsi="Century Gothic"/>
            <w:shd w:val="clear" w:color="auto" w:fill="FFFFFF"/>
          </w:rPr>
          <w:t>assessoriacisap@gmail.com/</w:t>
        </w:r>
      </w:hyperlink>
    </w:p>
    <w:p w14:paraId="6A21BC54" w14:textId="5C0C1029" w:rsidR="00A95CBE" w:rsidRDefault="00A95CBE" w:rsidP="008442F9">
      <w:pPr>
        <w:spacing w:before="100" w:beforeAutospacing="1" w:after="100" w:afterAutospacing="1"/>
        <w:jc w:val="both"/>
        <w:rPr>
          <w:rFonts w:ascii="Century Gothic" w:hAnsi="Century Gothic"/>
          <w:shd w:val="clear" w:color="auto" w:fill="FFFFFF"/>
        </w:rPr>
      </w:pPr>
      <w:proofErr w:type="gramStart"/>
      <w:r>
        <w:rPr>
          <w:rFonts w:ascii="Century Gothic" w:hAnsi="Century Gothic"/>
          <w:shd w:val="clear" w:color="auto" w:fill="FFFFFF"/>
        </w:rPr>
        <w:t>3.9 Faz</w:t>
      </w:r>
      <w:proofErr w:type="gramEnd"/>
      <w:r>
        <w:rPr>
          <w:rFonts w:ascii="Century Gothic" w:hAnsi="Century Gothic"/>
          <w:shd w:val="clear" w:color="auto" w:fill="FFFFFF"/>
        </w:rPr>
        <w:t xml:space="preserve"> parte integrante deste expediente, o ANEXO I, denominado PLANILHA DE RESPOSTA, documento em que os Municípios Consorciados deverão colocar os seus quantitativos estimados para o período de 12 meses. </w:t>
      </w:r>
    </w:p>
    <w:p w14:paraId="61E19EFF" w14:textId="6D753DF6" w:rsidR="00A95CBE" w:rsidRPr="00A95CBE" w:rsidRDefault="00A95CBE" w:rsidP="00A95CBE">
      <w:pPr>
        <w:jc w:val="center"/>
        <w:rPr>
          <w:rFonts w:ascii="Century Gothic" w:hAnsi="Century Gothic"/>
          <w:shd w:val="clear" w:color="auto" w:fill="FFFFFF"/>
        </w:rPr>
      </w:pPr>
      <w:r w:rsidRPr="00A95CBE">
        <w:rPr>
          <w:rFonts w:ascii="Century Gothic" w:hAnsi="Century Gothic"/>
          <w:shd w:val="clear" w:color="auto" w:fill="FFFFFF"/>
        </w:rPr>
        <w:t xml:space="preserve">Conselheiro Lafaiete, </w:t>
      </w:r>
      <w:r w:rsidR="00957995">
        <w:rPr>
          <w:rFonts w:ascii="Century Gothic" w:hAnsi="Century Gothic"/>
          <w:shd w:val="clear" w:color="auto" w:fill="FFFFFF"/>
        </w:rPr>
        <w:t>14</w:t>
      </w:r>
      <w:r w:rsidRPr="00A95CBE">
        <w:rPr>
          <w:rFonts w:ascii="Century Gothic" w:hAnsi="Century Gothic"/>
          <w:shd w:val="clear" w:color="auto" w:fill="FFFFFF"/>
        </w:rPr>
        <w:t xml:space="preserve"> de </w:t>
      </w:r>
      <w:r w:rsidR="00D10F2C">
        <w:rPr>
          <w:rFonts w:ascii="Century Gothic" w:hAnsi="Century Gothic"/>
          <w:shd w:val="clear" w:color="auto" w:fill="FFFFFF"/>
        </w:rPr>
        <w:t>outubro</w:t>
      </w:r>
      <w:r w:rsidRPr="00A95CBE">
        <w:rPr>
          <w:rFonts w:ascii="Century Gothic" w:hAnsi="Century Gothic"/>
          <w:shd w:val="clear" w:color="auto" w:fill="FFFFFF"/>
        </w:rPr>
        <w:t xml:space="preserve"> de 2025. </w:t>
      </w:r>
    </w:p>
    <w:p w14:paraId="5DDA3078" w14:textId="77777777" w:rsidR="00A95CBE" w:rsidRDefault="00A95CBE" w:rsidP="00A95CBE">
      <w:pPr>
        <w:pStyle w:val="Corpodetexto"/>
        <w:jc w:val="center"/>
        <w:rPr>
          <w:rFonts w:ascii="Century Gothic" w:hAnsi="Century Gothic" w:cs="Segoe UI"/>
          <w:b/>
          <w:bCs/>
          <w:szCs w:val="24"/>
          <w:lang w:val="pt-BR"/>
        </w:rPr>
      </w:pPr>
    </w:p>
    <w:p w14:paraId="1F3E3E88" w14:textId="77777777" w:rsidR="00A95CBE" w:rsidRDefault="00A95CBE" w:rsidP="00A95CBE">
      <w:pPr>
        <w:pStyle w:val="Corpodetexto"/>
        <w:jc w:val="center"/>
        <w:rPr>
          <w:rFonts w:ascii="Century Gothic" w:hAnsi="Century Gothic" w:cs="Segoe UI"/>
          <w:b/>
          <w:bCs/>
          <w:szCs w:val="24"/>
          <w:lang w:val="pt-BR"/>
        </w:rPr>
      </w:pPr>
    </w:p>
    <w:p w14:paraId="00398D05" w14:textId="1682492F" w:rsidR="00A95CBE" w:rsidRPr="00A95CBE" w:rsidRDefault="00A95CBE" w:rsidP="00A95CBE">
      <w:pPr>
        <w:pStyle w:val="Corpodetexto"/>
        <w:jc w:val="center"/>
        <w:rPr>
          <w:rFonts w:ascii="Century Gothic" w:hAnsi="Century Gothic" w:cs="Segoe UI"/>
          <w:b/>
          <w:bCs/>
          <w:szCs w:val="24"/>
          <w:lang w:val="pt-BR"/>
        </w:rPr>
      </w:pPr>
      <w:proofErr w:type="spellStart"/>
      <w:r w:rsidRPr="00A95CBE">
        <w:rPr>
          <w:rFonts w:ascii="Century Gothic" w:hAnsi="Century Gothic" w:cs="Segoe UI"/>
          <w:b/>
          <w:bCs/>
          <w:szCs w:val="24"/>
          <w:lang w:val="pt-BR"/>
        </w:rPr>
        <w:t>Danila</w:t>
      </w:r>
      <w:proofErr w:type="spellEnd"/>
      <w:r w:rsidRPr="00A95CBE">
        <w:rPr>
          <w:rFonts w:ascii="Century Gothic" w:hAnsi="Century Gothic" w:cs="Segoe UI"/>
          <w:b/>
          <w:bCs/>
          <w:szCs w:val="24"/>
          <w:lang w:val="pt-BR"/>
        </w:rPr>
        <w:t xml:space="preserve"> </w:t>
      </w:r>
      <w:proofErr w:type="spellStart"/>
      <w:r w:rsidRPr="00A95CBE">
        <w:rPr>
          <w:rFonts w:ascii="Century Gothic" w:hAnsi="Century Gothic" w:cs="Segoe UI"/>
          <w:b/>
          <w:bCs/>
          <w:szCs w:val="24"/>
          <w:lang w:val="pt-BR"/>
        </w:rPr>
        <w:t>Leir</w:t>
      </w:r>
      <w:proofErr w:type="spellEnd"/>
      <w:r w:rsidRPr="00A95CBE">
        <w:rPr>
          <w:rFonts w:ascii="Century Gothic" w:hAnsi="Century Gothic" w:cs="Segoe UI"/>
          <w:b/>
          <w:bCs/>
          <w:szCs w:val="24"/>
          <w:lang w:val="pt-BR"/>
        </w:rPr>
        <w:t xml:space="preserve"> Rezende Teles Lopes</w:t>
      </w:r>
    </w:p>
    <w:p w14:paraId="0155252C" w14:textId="0D9CE6AB" w:rsidR="000E2D06" w:rsidRDefault="00A95CBE" w:rsidP="00A95CBE">
      <w:pPr>
        <w:jc w:val="center"/>
        <w:rPr>
          <w:rFonts w:ascii="Century Gothic" w:hAnsi="Century Gothic" w:cs="Segoe UI"/>
        </w:rPr>
      </w:pPr>
      <w:r w:rsidRPr="00A95CBE">
        <w:rPr>
          <w:rFonts w:ascii="Century Gothic" w:hAnsi="Century Gothic" w:cs="Segoe UI"/>
        </w:rPr>
        <w:t>Agente de Contratação</w:t>
      </w:r>
    </w:p>
    <w:p w14:paraId="5749F920" w14:textId="4BE713A5" w:rsidR="00A95CBE" w:rsidRDefault="00A95CBE" w:rsidP="00A95CBE">
      <w:pPr>
        <w:jc w:val="center"/>
        <w:rPr>
          <w:rFonts w:ascii="Century Gothic" w:hAnsi="Century Gothic" w:cs="Segoe UI"/>
        </w:rPr>
      </w:pPr>
    </w:p>
    <w:p w14:paraId="165235A0" w14:textId="133A5EE0" w:rsidR="00A95CBE" w:rsidRDefault="00A95CBE" w:rsidP="00A95CBE">
      <w:pPr>
        <w:shd w:val="clear" w:color="auto" w:fill="FDE9D9" w:themeFill="accent6" w:themeFillTint="33"/>
        <w:jc w:val="center"/>
        <w:rPr>
          <w:rFonts w:ascii="Century Gothic" w:hAnsi="Century Gothic" w:cs="Segoe UI"/>
          <w:b/>
          <w:bCs/>
          <w:sz w:val="32"/>
          <w:szCs w:val="32"/>
        </w:rPr>
      </w:pPr>
      <w:r w:rsidRPr="00A95CBE">
        <w:rPr>
          <w:rFonts w:ascii="Century Gothic" w:hAnsi="Century Gothic" w:cs="Segoe UI"/>
          <w:b/>
          <w:bCs/>
          <w:sz w:val="32"/>
          <w:szCs w:val="32"/>
        </w:rPr>
        <w:t>ANEXO I – PLANILHA DE RESPOSTA</w:t>
      </w:r>
    </w:p>
    <w:p w14:paraId="001B43EF" w14:textId="5B52069F" w:rsidR="00A95CBE" w:rsidRDefault="00A95CBE" w:rsidP="00A95CBE">
      <w:pPr>
        <w:pStyle w:val="NormalWeb"/>
        <w:jc w:val="both"/>
        <w:rPr>
          <w:rFonts w:ascii="Century Gothic" w:hAnsi="Century Gothic"/>
        </w:rPr>
      </w:pPr>
      <w:r w:rsidRPr="00A95CBE">
        <w:rPr>
          <w:rStyle w:val="Forte"/>
          <w:rFonts w:ascii="Century Gothic" w:hAnsi="Century Gothic"/>
        </w:rPr>
        <w:t>OBJETO</w:t>
      </w:r>
      <w:r>
        <w:rPr>
          <w:rFonts w:ascii="Century Gothic" w:hAnsi="Century Gothic"/>
        </w:rPr>
        <w:t xml:space="preserve">: </w:t>
      </w:r>
      <w:r w:rsidRPr="00A95CBE">
        <w:rPr>
          <w:rFonts w:ascii="Century Gothic" w:hAnsi="Century Gothic"/>
        </w:rPr>
        <w:t xml:space="preserve">Registro de preços para futura e eventual </w:t>
      </w:r>
      <w:r w:rsidR="00D10F2C" w:rsidRPr="00D10F2C">
        <w:rPr>
          <w:rFonts w:ascii="Century Gothic" w:hAnsi="Century Gothic"/>
        </w:rPr>
        <w:t>contratação de empresas especializadas no fornecimento de medicamentos, com base no maior percentual de desconto sobre o preço médio do produto inscrito no Banco de Preços do Tribunal de Contas do Estado de Minas Gerais – TCE/MG aos Município que compõem o CISAP-VP</w:t>
      </w:r>
      <w:r w:rsidRPr="00A95CBE">
        <w:rPr>
          <w:rFonts w:ascii="Century Gothic" w:hAnsi="Century Gothic"/>
        </w:rPr>
        <w:t>.</w:t>
      </w:r>
    </w:p>
    <w:p w14:paraId="097B6171" w14:textId="77777777" w:rsidR="000B579A" w:rsidRPr="00A95CBE" w:rsidRDefault="000B579A" w:rsidP="00A95CBE">
      <w:pPr>
        <w:pStyle w:val="NormalWeb"/>
        <w:jc w:val="both"/>
        <w:rPr>
          <w:rFonts w:ascii="Century Gothic" w:hAnsi="Century Gothic"/>
        </w:rPr>
      </w:pPr>
    </w:p>
    <w:p w14:paraId="3109D9CD" w14:textId="0CEDD053" w:rsidR="00A95CBE" w:rsidRPr="00A95CBE" w:rsidRDefault="00A95CBE" w:rsidP="00A95CBE">
      <w:pPr>
        <w:pStyle w:val="NormalWeb"/>
        <w:jc w:val="both"/>
        <w:rPr>
          <w:rFonts w:ascii="Century Gothic" w:hAnsi="Century Gothic"/>
        </w:rPr>
      </w:pPr>
      <w:r w:rsidRPr="00A95CBE">
        <w:rPr>
          <w:rStyle w:val="Forte"/>
          <w:rFonts w:ascii="Century Gothic" w:hAnsi="Century Gothic"/>
        </w:rPr>
        <w:t>ORIENTAÇÕES PARA PREENCHIMENTO DA PLANILHA PELOS MUNICÍPIOS CONSORCIADOS</w:t>
      </w:r>
    </w:p>
    <w:p w14:paraId="61F56D3B" w14:textId="77777777" w:rsidR="00A95CBE" w:rsidRPr="00A95CBE" w:rsidRDefault="00A95CBE" w:rsidP="00A95CBE">
      <w:pPr>
        <w:pStyle w:val="NormalWeb"/>
        <w:jc w:val="both"/>
        <w:rPr>
          <w:rFonts w:ascii="Century Gothic" w:hAnsi="Century Gothic"/>
        </w:rPr>
      </w:pPr>
      <w:r w:rsidRPr="00A95CBE">
        <w:rPr>
          <w:rFonts w:ascii="Century Gothic" w:hAnsi="Century Gothic"/>
        </w:rPr>
        <w:t>Cada Município consorciado deverá:</w:t>
      </w:r>
    </w:p>
    <w:p w14:paraId="1F6C5DE8" w14:textId="77777777" w:rsidR="00A95CBE" w:rsidRPr="00A95CBE" w:rsidRDefault="00A95CBE" w:rsidP="00A95CBE">
      <w:pPr>
        <w:pStyle w:val="NormalWeb"/>
        <w:numPr>
          <w:ilvl w:val="0"/>
          <w:numId w:val="2"/>
        </w:numPr>
        <w:jc w:val="both"/>
        <w:rPr>
          <w:rFonts w:ascii="Century Gothic" w:hAnsi="Century Gothic"/>
        </w:rPr>
      </w:pPr>
      <w:r w:rsidRPr="00A95CBE">
        <w:rPr>
          <w:rStyle w:val="Forte"/>
          <w:rFonts w:ascii="Century Gothic" w:hAnsi="Century Gothic"/>
        </w:rPr>
        <w:t>Coluna “Local de Atendimento”</w:t>
      </w:r>
    </w:p>
    <w:p w14:paraId="1B5B4F39" w14:textId="77777777" w:rsidR="00A95CBE" w:rsidRPr="00A95CBE" w:rsidRDefault="00A95CBE" w:rsidP="00A95CBE">
      <w:pPr>
        <w:pStyle w:val="NormalWeb"/>
        <w:numPr>
          <w:ilvl w:val="1"/>
          <w:numId w:val="2"/>
        </w:numPr>
        <w:jc w:val="both"/>
        <w:rPr>
          <w:rFonts w:ascii="Century Gothic" w:hAnsi="Century Gothic"/>
        </w:rPr>
      </w:pPr>
      <w:r w:rsidRPr="00A95CBE">
        <w:rPr>
          <w:rFonts w:ascii="Century Gothic" w:hAnsi="Century Gothic"/>
        </w:rPr>
        <w:t>Informar, de forma objetiva, o local de execução pretendido para cada serviço/profissional:</w:t>
      </w:r>
    </w:p>
    <w:p w14:paraId="18FAEB31" w14:textId="77777777" w:rsidR="00A95CBE" w:rsidRPr="00A95CBE" w:rsidRDefault="00A95CBE" w:rsidP="00A95CBE">
      <w:pPr>
        <w:pStyle w:val="NormalWeb"/>
        <w:numPr>
          <w:ilvl w:val="2"/>
          <w:numId w:val="2"/>
        </w:numPr>
        <w:jc w:val="both"/>
        <w:rPr>
          <w:rFonts w:ascii="Century Gothic" w:hAnsi="Century Gothic"/>
        </w:rPr>
      </w:pPr>
      <w:r w:rsidRPr="00A95CBE">
        <w:rPr>
          <w:rStyle w:val="Forte"/>
          <w:rFonts w:ascii="Century Gothic" w:hAnsi="Century Gothic"/>
        </w:rPr>
        <w:t>Município</w:t>
      </w:r>
      <w:r w:rsidRPr="00A95CBE">
        <w:rPr>
          <w:rFonts w:ascii="Century Gothic" w:hAnsi="Century Gothic"/>
        </w:rPr>
        <w:t xml:space="preserve"> – quando o atendimento for realizado nas dependências do próprio Município consorciado (ex.: UBS, Policlínica, Hospital Municipal).</w:t>
      </w:r>
    </w:p>
    <w:p w14:paraId="6D1D7417" w14:textId="77777777" w:rsidR="00A95CBE" w:rsidRPr="00A95CBE" w:rsidRDefault="00A95CBE" w:rsidP="00A95CBE">
      <w:pPr>
        <w:pStyle w:val="NormalWeb"/>
        <w:numPr>
          <w:ilvl w:val="2"/>
          <w:numId w:val="2"/>
        </w:numPr>
        <w:jc w:val="both"/>
        <w:rPr>
          <w:rFonts w:ascii="Century Gothic" w:hAnsi="Century Gothic"/>
        </w:rPr>
      </w:pPr>
      <w:r w:rsidRPr="00A95CBE">
        <w:rPr>
          <w:rStyle w:val="Forte"/>
          <w:rFonts w:ascii="Century Gothic" w:hAnsi="Century Gothic"/>
        </w:rPr>
        <w:t>Consultório do Profissional</w:t>
      </w:r>
      <w:r w:rsidRPr="00A95CBE">
        <w:rPr>
          <w:rFonts w:ascii="Century Gothic" w:hAnsi="Century Gothic"/>
        </w:rPr>
        <w:t xml:space="preserve"> – quando o atendimento ocorrer no consultório/clínica particular do profissional credenciado.</w:t>
      </w:r>
    </w:p>
    <w:p w14:paraId="1DFB8687" w14:textId="77777777" w:rsidR="00A95CBE" w:rsidRPr="00A95CBE" w:rsidRDefault="00A95CBE" w:rsidP="00A95CBE">
      <w:pPr>
        <w:pStyle w:val="NormalWeb"/>
        <w:numPr>
          <w:ilvl w:val="0"/>
          <w:numId w:val="2"/>
        </w:numPr>
        <w:jc w:val="both"/>
        <w:rPr>
          <w:rFonts w:ascii="Century Gothic" w:hAnsi="Century Gothic"/>
        </w:rPr>
      </w:pPr>
      <w:r w:rsidRPr="00A95CBE">
        <w:rPr>
          <w:rStyle w:val="Forte"/>
          <w:rFonts w:ascii="Century Gothic" w:hAnsi="Century Gothic"/>
        </w:rPr>
        <w:t>Coluna “Quantidade Anual”</w:t>
      </w:r>
    </w:p>
    <w:p w14:paraId="5564995F" w14:textId="77777777" w:rsidR="00A95CBE" w:rsidRPr="00A95CBE" w:rsidRDefault="00A95CBE" w:rsidP="00A95CBE">
      <w:pPr>
        <w:pStyle w:val="NormalWeb"/>
        <w:numPr>
          <w:ilvl w:val="1"/>
          <w:numId w:val="2"/>
        </w:numPr>
        <w:jc w:val="both"/>
        <w:rPr>
          <w:rFonts w:ascii="Century Gothic" w:hAnsi="Century Gothic"/>
        </w:rPr>
      </w:pPr>
      <w:r w:rsidRPr="00A95CBE">
        <w:rPr>
          <w:rFonts w:ascii="Century Gothic" w:hAnsi="Century Gothic"/>
        </w:rPr>
        <w:t xml:space="preserve">Indicar a </w:t>
      </w:r>
      <w:r w:rsidRPr="00A95CBE">
        <w:rPr>
          <w:rStyle w:val="Forte"/>
          <w:rFonts w:ascii="Century Gothic" w:hAnsi="Century Gothic"/>
        </w:rPr>
        <w:t>quantidade estimada para o período de 12 (doze) meses</w:t>
      </w:r>
      <w:r w:rsidRPr="00A95CBE">
        <w:rPr>
          <w:rFonts w:ascii="Century Gothic" w:hAnsi="Century Gothic"/>
        </w:rPr>
        <w:t xml:space="preserve"> de vigência da ata, considerando as demandas históricas e a previsão de crescimento ou sazonalidade.</w:t>
      </w:r>
    </w:p>
    <w:p w14:paraId="720F42E4" w14:textId="77777777" w:rsidR="00A95CBE" w:rsidRPr="00A95CBE" w:rsidRDefault="00A95CBE" w:rsidP="00A95CBE">
      <w:pPr>
        <w:pStyle w:val="NormalWeb"/>
        <w:numPr>
          <w:ilvl w:val="0"/>
          <w:numId w:val="2"/>
        </w:numPr>
        <w:jc w:val="both"/>
        <w:rPr>
          <w:rFonts w:ascii="Century Gothic" w:hAnsi="Century Gothic"/>
        </w:rPr>
      </w:pPr>
      <w:r w:rsidRPr="00A95CBE">
        <w:rPr>
          <w:rStyle w:val="Forte"/>
          <w:rFonts w:ascii="Century Gothic" w:hAnsi="Century Gothic"/>
        </w:rPr>
        <w:t>Observações Importantes</w:t>
      </w:r>
    </w:p>
    <w:p w14:paraId="4E8609AE" w14:textId="77777777" w:rsidR="00A95CBE" w:rsidRPr="00A95CBE" w:rsidRDefault="00A95CBE" w:rsidP="00A95CBE">
      <w:pPr>
        <w:pStyle w:val="NormalWeb"/>
        <w:numPr>
          <w:ilvl w:val="1"/>
          <w:numId w:val="2"/>
        </w:numPr>
        <w:jc w:val="both"/>
        <w:rPr>
          <w:rFonts w:ascii="Century Gothic" w:hAnsi="Century Gothic"/>
        </w:rPr>
      </w:pPr>
      <w:r w:rsidRPr="00A95CBE">
        <w:rPr>
          <w:rFonts w:ascii="Century Gothic" w:hAnsi="Century Gothic"/>
        </w:rPr>
        <w:t>O correto preenchimento é essencial para garantir a estimativa do consumo e a adequada formação dos preços de referência.</w:t>
      </w:r>
    </w:p>
    <w:p w14:paraId="072E44F0" w14:textId="77777777" w:rsidR="00A95CBE" w:rsidRPr="00A95CBE" w:rsidRDefault="00A95CBE" w:rsidP="00A95CBE">
      <w:pPr>
        <w:pStyle w:val="NormalWeb"/>
        <w:numPr>
          <w:ilvl w:val="1"/>
          <w:numId w:val="2"/>
        </w:numPr>
        <w:jc w:val="both"/>
        <w:rPr>
          <w:rFonts w:ascii="Century Gothic" w:hAnsi="Century Gothic"/>
        </w:rPr>
      </w:pPr>
      <w:r w:rsidRPr="00A95CBE">
        <w:rPr>
          <w:rFonts w:ascii="Century Gothic" w:hAnsi="Century Gothic"/>
        </w:rPr>
        <w:t>Caso o Município não tenha previsão de utilização de determinado serviço, deve constar “0” (zero) na coluna “Quantidade Anual”, evitando lacunas.</w:t>
      </w:r>
    </w:p>
    <w:p w14:paraId="15174DCF" w14:textId="45E6D887" w:rsidR="00A95CBE" w:rsidRDefault="00A95CBE" w:rsidP="00A95CBE">
      <w:pPr>
        <w:pStyle w:val="NormalWeb"/>
        <w:numPr>
          <w:ilvl w:val="1"/>
          <w:numId w:val="2"/>
        </w:numPr>
        <w:jc w:val="both"/>
        <w:rPr>
          <w:rFonts w:ascii="Century Gothic" w:hAnsi="Century Gothic"/>
        </w:rPr>
      </w:pPr>
      <w:r w:rsidRPr="00A95CBE">
        <w:rPr>
          <w:rFonts w:ascii="Century Gothic" w:hAnsi="Century Gothic"/>
        </w:rPr>
        <w:t>Recomenda-se que o planejamento seja elaborado em conjunto com a equipe técnica da Secretaria Municipal de Saúde, levando em conta os atendimentos realizados nos últimos exercícios e eventuais expansões de serviços.</w:t>
      </w:r>
    </w:p>
    <w:p w14:paraId="4008CB43" w14:textId="29044610" w:rsidR="000B579A" w:rsidRDefault="000B579A" w:rsidP="000B579A">
      <w:pPr>
        <w:pStyle w:val="NormalWeb"/>
        <w:jc w:val="both"/>
        <w:rPr>
          <w:rFonts w:ascii="Century Gothic" w:hAnsi="Century Gothic"/>
        </w:rPr>
      </w:pPr>
    </w:p>
    <w:p w14:paraId="24009394" w14:textId="055CB9F0" w:rsidR="00D10F2C" w:rsidRDefault="00D10F2C" w:rsidP="000B579A">
      <w:pPr>
        <w:pStyle w:val="NormalWeb"/>
        <w:jc w:val="both"/>
        <w:rPr>
          <w:rFonts w:ascii="Century Gothic" w:hAnsi="Century Gothic"/>
        </w:rPr>
      </w:pPr>
    </w:p>
    <w:p w14:paraId="5155DCE4" w14:textId="6607F336" w:rsidR="00D10F2C" w:rsidRDefault="00D10F2C" w:rsidP="000B579A">
      <w:pPr>
        <w:pStyle w:val="NormalWeb"/>
        <w:jc w:val="both"/>
        <w:rPr>
          <w:rFonts w:ascii="Century Gothic" w:hAnsi="Century Gothic"/>
        </w:rPr>
      </w:pPr>
    </w:p>
    <w:p w14:paraId="5A0A5D65" w14:textId="5AADD26B" w:rsidR="00D10F2C" w:rsidRDefault="00D10F2C" w:rsidP="000B579A">
      <w:pPr>
        <w:pStyle w:val="NormalWeb"/>
        <w:jc w:val="both"/>
        <w:rPr>
          <w:rFonts w:ascii="Century Gothic" w:hAnsi="Century Gothic"/>
        </w:rPr>
      </w:pPr>
    </w:p>
    <w:p w14:paraId="596E2DD5" w14:textId="72E131D9" w:rsidR="00D10F2C" w:rsidRDefault="00D10F2C" w:rsidP="000B579A">
      <w:pPr>
        <w:pStyle w:val="NormalWeb"/>
        <w:jc w:val="both"/>
        <w:rPr>
          <w:rFonts w:ascii="Century Gothic" w:hAnsi="Century Gothic"/>
        </w:rPr>
      </w:pPr>
    </w:p>
    <w:p w14:paraId="16B1242F" w14:textId="77777777" w:rsidR="00D10F2C" w:rsidRPr="000B579A" w:rsidRDefault="00D10F2C" w:rsidP="00D10F2C">
      <w:pPr>
        <w:jc w:val="center"/>
        <w:rPr>
          <w:rFonts w:ascii="Century Gothic" w:hAnsi="Century Gothic"/>
          <w:b/>
          <w:bCs/>
        </w:rPr>
      </w:pPr>
      <w:r w:rsidRPr="000B579A">
        <w:rPr>
          <w:rFonts w:ascii="Century Gothic" w:hAnsi="Century Gothic"/>
          <w:b/>
          <w:bCs/>
        </w:rPr>
        <w:t>DADOS DO MUNICÍPIO</w:t>
      </w:r>
    </w:p>
    <w:p w14:paraId="24C5E9DB" w14:textId="77777777" w:rsidR="00D10F2C" w:rsidRPr="000B579A" w:rsidRDefault="00D10F2C" w:rsidP="00D10F2C">
      <w:pPr>
        <w:spacing w:before="100" w:beforeAutospacing="1" w:after="100" w:afterAutospacing="1"/>
        <w:rPr>
          <w:rFonts w:ascii="Century Gothic" w:hAnsi="Century Gothic"/>
          <w:color w:val="FF0000"/>
        </w:rPr>
      </w:pPr>
      <w:r w:rsidRPr="000B579A">
        <w:rPr>
          <w:rFonts w:ascii="Century Gothic" w:hAnsi="Century Gothic"/>
          <w:b/>
          <w:bCs/>
        </w:rPr>
        <w:t xml:space="preserve">MUNICÍPIO: </w:t>
      </w:r>
      <w:r w:rsidRPr="000B579A">
        <w:rPr>
          <w:rFonts w:ascii="Century Gothic" w:hAnsi="Century Gothic"/>
          <w:color w:val="FF0000"/>
        </w:rPr>
        <w:t>&lt;&lt;Nome&gt;&gt;</w:t>
      </w:r>
    </w:p>
    <w:p w14:paraId="57A934AC" w14:textId="77777777" w:rsidR="00D10F2C" w:rsidRPr="000B579A" w:rsidRDefault="00D10F2C" w:rsidP="00D10F2C">
      <w:pPr>
        <w:spacing w:before="100" w:beforeAutospacing="1" w:after="100" w:afterAutospacing="1"/>
        <w:rPr>
          <w:rFonts w:ascii="Century Gothic" w:hAnsi="Century Gothic"/>
          <w:color w:val="FF0000"/>
        </w:rPr>
      </w:pPr>
      <w:r w:rsidRPr="000B579A">
        <w:rPr>
          <w:rFonts w:ascii="Century Gothic" w:hAnsi="Century Gothic"/>
          <w:b/>
          <w:bCs/>
        </w:rPr>
        <w:t xml:space="preserve">CNPJ: </w:t>
      </w:r>
      <w:r w:rsidRPr="000B579A">
        <w:rPr>
          <w:rFonts w:ascii="Century Gothic" w:hAnsi="Century Gothic"/>
          <w:color w:val="FF0000"/>
        </w:rPr>
        <w:t>&lt;&lt;Número&gt;&gt;</w:t>
      </w:r>
    </w:p>
    <w:p w14:paraId="44423A22" w14:textId="11569A95" w:rsidR="00D10F2C" w:rsidRDefault="00D10F2C" w:rsidP="00D10F2C">
      <w:pPr>
        <w:pStyle w:val="NormalWeb"/>
        <w:jc w:val="both"/>
        <w:rPr>
          <w:rFonts w:ascii="Century Gothic" w:hAnsi="Century Gothic"/>
        </w:rPr>
      </w:pPr>
      <w:r w:rsidRPr="000B579A">
        <w:rPr>
          <w:rFonts w:ascii="Century Gothic" w:hAnsi="Century Gothic"/>
          <w:b/>
          <w:bCs/>
        </w:rPr>
        <w:t xml:space="preserve">ENDEREÇO: </w:t>
      </w:r>
      <w:r w:rsidRPr="000B579A">
        <w:rPr>
          <w:rFonts w:ascii="Century Gothic" w:hAnsi="Century Gothic"/>
          <w:color w:val="FF0000"/>
        </w:rPr>
        <w:t>&lt;&lt;Número&gt;&gt;</w:t>
      </w:r>
    </w:p>
    <w:p w14:paraId="5C70A7D1" w14:textId="68E2ED17" w:rsidR="00D10F2C" w:rsidRDefault="00D10F2C" w:rsidP="000B579A">
      <w:pPr>
        <w:pStyle w:val="NormalWeb"/>
        <w:jc w:val="both"/>
        <w:rPr>
          <w:rFonts w:ascii="Century Gothic" w:hAnsi="Century Gothic"/>
        </w:rPr>
      </w:pPr>
    </w:p>
    <w:tbl>
      <w:tblPr>
        <w:tblW w:w="90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4"/>
        <w:gridCol w:w="4492"/>
        <w:gridCol w:w="2009"/>
        <w:gridCol w:w="1946"/>
      </w:tblGrid>
      <w:tr w:rsidR="00D10F2C" w:rsidRPr="00957995" w14:paraId="7DFBF9B4" w14:textId="7BC358A6" w:rsidTr="00D10F2C">
        <w:trPr>
          <w:tblHeader/>
          <w:tblCellSpacing w:w="15" w:type="dxa"/>
        </w:trPr>
        <w:tc>
          <w:tcPr>
            <w:tcW w:w="0" w:type="auto"/>
            <w:vAlign w:val="center"/>
            <w:hideMark/>
          </w:tcPr>
          <w:p w14:paraId="1BE30D87" w14:textId="77777777" w:rsidR="00D10F2C" w:rsidRPr="00957995" w:rsidRDefault="00D10F2C" w:rsidP="001933E9">
            <w:pPr>
              <w:jc w:val="center"/>
              <w:rPr>
                <w:rFonts w:ascii="Century Gothic" w:hAnsi="Century Gothic"/>
                <w:b/>
                <w:bCs/>
              </w:rPr>
            </w:pPr>
            <w:r w:rsidRPr="00957995">
              <w:rPr>
                <w:rFonts w:ascii="Century Gothic" w:hAnsi="Century Gothic"/>
                <w:b/>
                <w:bCs/>
              </w:rPr>
              <w:t>Item</w:t>
            </w:r>
          </w:p>
        </w:tc>
        <w:tc>
          <w:tcPr>
            <w:tcW w:w="4462" w:type="dxa"/>
            <w:vAlign w:val="center"/>
            <w:hideMark/>
          </w:tcPr>
          <w:p w14:paraId="708AB0E2" w14:textId="77777777" w:rsidR="00D10F2C" w:rsidRPr="00957995" w:rsidRDefault="00D10F2C" w:rsidP="001933E9">
            <w:pPr>
              <w:jc w:val="center"/>
              <w:rPr>
                <w:rFonts w:ascii="Century Gothic" w:hAnsi="Century Gothic"/>
                <w:b/>
                <w:bCs/>
              </w:rPr>
            </w:pPr>
            <w:r w:rsidRPr="00957995">
              <w:rPr>
                <w:rFonts w:ascii="Century Gothic" w:hAnsi="Century Gothic"/>
                <w:b/>
                <w:bCs/>
              </w:rPr>
              <w:t>Especificação</w:t>
            </w:r>
          </w:p>
        </w:tc>
        <w:tc>
          <w:tcPr>
            <w:tcW w:w="1979" w:type="dxa"/>
          </w:tcPr>
          <w:p w14:paraId="13B0BAD3" w14:textId="77777777" w:rsidR="00D10F2C" w:rsidRPr="00957995" w:rsidRDefault="00D10F2C" w:rsidP="001933E9">
            <w:pPr>
              <w:jc w:val="center"/>
              <w:rPr>
                <w:rFonts w:ascii="Century Gothic" w:hAnsi="Century Gothic"/>
                <w:b/>
                <w:bCs/>
              </w:rPr>
            </w:pPr>
            <w:r w:rsidRPr="00957995">
              <w:rPr>
                <w:rFonts w:ascii="Century Gothic" w:hAnsi="Century Gothic"/>
                <w:b/>
                <w:bCs/>
              </w:rPr>
              <w:t>Percentual de Desconto</w:t>
            </w:r>
          </w:p>
        </w:tc>
        <w:tc>
          <w:tcPr>
            <w:tcW w:w="1901" w:type="dxa"/>
          </w:tcPr>
          <w:p w14:paraId="102CC148" w14:textId="7F607A38" w:rsidR="00D10F2C" w:rsidRPr="00957995" w:rsidRDefault="00D10F2C" w:rsidP="001933E9">
            <w:pPr>
              <w:jc w:val="center"/>
              <w:rPr>
                <w:rFonts w:ascii="Century Gothic" w:hAnsi="Century Gothic"/>
                <w:b/>
                <w:bCs/>
              </w:rPr>
            </w:pPr>
            <w:r w:rsidRPr="00957995">
              <w:rPr>
                <w:rFonts w:ascii="Century Gothic" w:hAnsi="Century Gothic"/>
                <w:b/>
                <w:bCs/>
              </w:rPr>
              <w:t>VALOR ANUAL DE GASTOS PELO MUNICÍPIO</w:t>
            </w:r>
          </w:p>
        </w:tc>
      </w:tr>
      <w:tr w:rsidR="00627B92" w:rsidRPr="00957995" w14:paraId="51E1F2B1" w14:textId="1FFFAD11" w:rsidTr="00D10F2C">
        <w:trPr>
          <w:tblCellSpacing w:w="15" w:type="dxa"/>
        </w:trPr>
        <w:tc>
          <w:tcPr>
            <w:tcW w:w="0" w:type="auto"/>
            <w:vAlign w:val="center"/>
            <w:hideMark/>
          </w:tcPr>
          <w:p w14:paraId="46A7726A" w14:textId="77777777" w:rsidR="00627B92" w:rsidRPr="00957995" w:rsidRDefault="00627B92" w:rsidP="00627B92">
            <w:pPr>
              <w:rPr>
                <w:rFonts w:ascii="Century Gothic" w:hAnsi="Century Gothic"/>
              </w:rPr>
            </w:pPr>
            <w:bookmarkStart w:id="1" w:name="_Hlk206959573"/>
            <w:r w:rsidRPr="00957995">
              <w:rPr>
                <w:rFonts w:ascii="Century Gothic" w:hAnsi="Century Gothic"/>
              </w:rPr>
              <w:t>01</w:t>
            </w:r>
          </w:p>
        </w:tc>
        <w:tc>
          <w:tcPr>
            <w:tcW w:w="4462" w:type="dxa"/>
            <w:vAlign w:val="center"/>
            <w:hideMark/>
          </w:tcPr>
          <w:p w14:paraId="20DD2872" w14:textId="249259AE" w:rsidR="00627B92" w:rsidRPr="00957995" w:rsidRDefault="00957995" w:rsidP="00957995">
            <w:pPr>
              <w:jc w:val="both"/>
              <w:rPr>
                <w:rFonts w:ascii="Century Gothic" w:hAnsi="Century Gothic"/>
              </w:rPr>
            </w:pPr>
            <w:r w:rsidRPr="00957995">
              <w:rPr>
                <w:rFonts w:ascii="Century Gothic" w:hAnsi="Century Gothic"/>
              </w:rPr>
              <w:t xml:space="preserve">Medicamentos </w:t>
            </w:r>
            <w:r w:rsidRPr="00957995">
              <w:rPr>
                <w:rStyle w:val="Forte"/>
                <w:rFonts w:ascii="Century Gothic" w:hAnsi="Century Gothic"/>
              </w:rPr>
              <w:t>GENÉRICOS</w:t>
            </w:r>
            <w:r w:rsidRPr="00957995">
              <w:rPr>
                <w:rFonts w:ascii="Century Gothic" w:hAnsi="Century Gothic"/>
              </w:rPr>
              <w:t xml:space="preserve"> de “A </w:t>
            </w:r>
            <w:proofErr w:type="spellStart"/>
            <w:r w:rsidRPr="00957995">
              <w:rPr>
                <w:rFonts w:ascii="Century Gothic" w:hAnsi="Century Gothic"/>
              </w:rPr>
              <w:t>a</w:t>
            </w:r>
            <w:proofErr w:type="spellEnd"/>
            <w:r w:rsidRPr="00957995">
              <w:rPr>
                <w:rFonts w:ascii="Century Gothic" w:hAnsi="Century Gothic"/>
              </w:rPr>
              <w:t xml:space="preserve"> Z”, descritos no BANCO DE PREÇOS do TRIBUNAL DE CONTAS DO ESTADO DE MINAS GERAIS.</w:t>
            </w:r>
          </w:p>
        </w:tc>
        <w:tc>
          <w:tcPr>
            <w:tcW w:w="1979" w:type="dxa"/>
            <w:vAlign w:val="center"/>
          </w:tcPr>
          <w:p w14:paraId="5F657262" w14:textId="1129EDAB" w:rsidR="00627B92" w:rsidRPr="00957995" w:rsidRDefault="00627B92" w:rsidP="00627B92">
            <w:pPr>
              <w:jc w:val="center"/>
              <w:rPr>
                <w:rFonts w:ascii="Century Gothic" w:hAnsi="Century Gothic"/>
              </w:rPr>
            </w:pPr>
            <w:r w:rsidRPr="00957995">
              <w:rPr>
                <w:rFonts w:ascii="Century Gothic" w:hAnsi="Century Gothic"/>
              </w:rPr>
              <w:t>A ser definido em Futuro Processo</w:t>
            </w:r>
          </w:p>
        </w:tc>
        <w:tc>
          <w:tcPr>
            <w:tcW w:w="1901" w:type="dxa"/>
          </w:tcPr>
          <w:p w14:paraId="2E9F2AB6" w14:textId="4FF29729" w:rsidR="00627B92" w:rsidRPr="00957995" w:rsidRDefault="00627B92" w:rsidP="00627B92">
            <w:pPr>
              <w:rPr>
                <w:rFonts w:ascii="Century Gothic" w:hAnsi="Century Gothic"/>
              </w:rPr>
            </w:pPr>
            <w:r w:rsidRPr="00957995">
              <w:rPr>
                <w:rFonts w:ascii="Century Gothic" w:hAnsi="Century Gothic"/>
              </w:rPr>
              <w:t>R$</w:t>
            </w:r>
          </w:p>
        </w:tc>
      </w:tr>
      <w:tr w:rsidR="00627B92" w:rsidRPr="00957995" w14:paraId="5F161B69" w14:textId="2B36512D" w:rsidTr="00D10F2C">
        <w:trPr>
          <w:tblCellSpacing w:w="15" w:type="dxa"/>
        </w:trPr>
        <w:tc>
          <w:tcPr>
            <w:tcW w:w="0" w:type="auto"/>
            <w:vAlign w:val="center"/>
            <w:hideMark/>
          </w:tcPr>
          <w:p w14:paraId="64284904" w14:textId="77777777" w:rsidR="00627B92" w:rsidRPr="00957995" w:rsidRDefault="00627B92" w:rsidP="00627B92">
            <w:pPr>
              <w:rPr>
                <w:rFonts w:ascii="Century Gothic" w:hAnsi="Century Gothic"/>
              </w:rPr>
            </w:pPr>
            <w:r w:rsidRPr="00957995">
              <w:rPr>
                <w:rFonts w:ascii="Century Gothic" w:hAnsi="Century Gothic"/>
              </w:rPr>
              <w:t>02</w:t>
            </w:r>
          </w:p>
        </w:tc>
        <w:tc>
          <w:tcPr>
            <w:tcW w:w="4462" w:type="dxa"/>
            <w:vAlign w:val="center"/>
            <w:hideMark/>
          </w:tcPr>
          <w:p w14:paraId="7885FAB0" w14:textId="4AA8E3C7" w:rsidR="00627B92" w:rsidRPr="00957995" w:rsidRDefault="00957995" w:rsidP="00957995">
            <w:pPr>
              <w:jc w:val="both"/>
              <w:rPr>
                <w:rFonts w:ascii="Century Gothic" w:hAnsi="Century Gothic"/>
              </w:rPr>
            </w:pPr>
            <w:r w:rsidRPr="00957995">
              <w:rPr>
                <w:rFonts w:ascii="Century Gothic" w:hAnsi="Century Gothic"/>
              </w:rPr>
              <w:t xml:space="preserve">Medicamentos </w:t>
            </w:r>
            <w:r w:rsidRPr="00957995">
              <w:rPr>
                <w:rStyle w:val="Forte"/>
                <w:rFonts w:ascii="Century Gothic" w:hAnsi="Century Gothic"/>
              </w:rPr>
              <w:t>SIMILARES</w:t>
            </w:r>
            <w:r w:rsidRPr="00957995">
              <w:rPr>
                <w:rFonts w:ascii="Century Gothic" w:hAnsi="Century Gothic"/>
              </w:rPr>
              <w:t xml:space="preserve"> de “A </w:t>
            </w:r>
            <w:proofErr w:type="spellStart"/>
            <w:r w:rsidRPr="00957995">
              <w:rPr>
                <w:rFonts w:ascii="Century Gothic" w:hAnsi="Century Gothic"/>
              </w:rPr>
              <w:t>a</w:t>
            </w:r>
            <w:proofErr w:type="spellEnd"/>
            <w:r w:rsidRPr="00957995">
              <w:rPr>
                <w:rFonts w:ascii="Century Gothic" w:hAnsi="Century Gothic"/>
              </w:rPr>
              <w:t xml:space="preserve"> Z”, descritos no BANCO DE PREÇOS do TRIBUNAL DE CONTAS DO ESTADO DE MINAS GERAIS.</w:t>
            </w:r>
          </w:p>
        </w:tc>
        <w:tc>
          <w:tcPr>
            <w:tcW w:w="1979" w:type="dxa"/>
            <w:vAlign w:val="center"/>
          </w:tcPr>
          <w:p w14:paraId="46EF22C8" w14:textId="452BD505" w:rsidR="00627B92" w:rsidRPr="00957995" w:rsidRDefault="00627B92" w:rsidP="00627B92">
            <w:pPr>
              <w:jc w:val="center"/>
              <w:rPr>
                <w:rFonts w:ascii="Century Gothic" w:hAnsi="Century Gothic"/>
              </w:rPr>
            </w:pPr>
            <w:r w:rsidRPr="00957995">
              <w:rPr>
                <w:rFonts w:ascii="Century Gothic" w:hAnsi="Century Gothic"/>
              </w:rPr>
              <w:t>A ser definido em Futuro Processo</w:t>
            </w:r>
          </w:p>
        </w:tc>
        <w:tc>
          <w:tcPr>
            <w:tcW w:w="1901" w:type="dxa"/>
          </w:tcPr>
          <w:p w14:paraId="5DD4E2A5" w14:textId="4AAB537C" w:rsidR="00627B92" w:rsidRPr="00957995" w:rsidRDefault="00627B92" w:rsidP="00627B92">
            <w:pPr>
              <w:rPr>
                <w:rFonts w:ascii="Century Gothic" w:hAnsi="Century Gothic"/>
              </w:rPr>
            </w:pPr>
            <w:r w:rsidRPr="00957995">
              <w:rPr>
                <w:rFonts w:ascii="Century Gothic" w:hAnsi="Century Gothic"/>
              </w:rPr>
              <w:t>R$</w:t>
            </w:r>
          </w:p>
        </w:tc>
      </w:tr>
      <w:tr w:rsidR="00627B92" w:rsidRPr="00957995" w14:paraId="7D78CB1E" w14:textId="4B07AFBA" w:rsidTr="00D10F2C">
        <w:trPr>
          <w:tblCellSpacing w:w="15" w:type="dxa"/>
        </w:trPr>
        <w:tc>
          <w:tcPr>
            <w:tcW w:w="0" w:type="auto"/>
            <w:vAlign w:val="center"/>
            <w:hideMark/>
          </w:tcPr>
          <w:p w14:paraId="6E26734B" w14:textId="77777777" w:rsidR="00627B92" w:rsidRPr="00957995" w:rsidRDefault="00627B92" w:rsidP="00627B92">
            <w:pPr>
              <w:rPr>
                <w:rFonts w:ascii="Century Gothic" w:hAnsi="Century Gothic"/>
              </w:rPr>
            </w:pPr>
            <w:r w:rsidRPr="00957995">
              <w:rPr>
                <w:rFonts w:ascii="Century Gothic" w:hAnsi="Century Gothic"/>
              </w:rPr>
              <w:t>03</w:t>
            </w:r>
          </w:p>
        </w:tc>
        <w:tc>
          <w:tcPr>
            <w:tcW w:w="4462" w:type="dxa"/>
            <w:vAlign w:val="center"/>
            <w:hideMark/>
          </w:tcPr>
          <w:p w14:paraId="5421F084" w14:textId="0A7383DA" w:rsidR="00627B92" w:rsidRPr="00957995" w:rsidRDefault="00957995" w:rsidP="00957995">
            <w:pPr>
              <w:jc w:val="both"/>
              <w:rPr>
                <w:rFonts w:ascii="Century Gothic" w:hAnsi="Century Gothic"/>
              </w:rPr>
            </w:pPr>
            <w:r w:rsidRPr="00957995">
              <w:rPr>
                <w:rFonts w:ascii="Century Gothic" w:hAnsi="Century Gothic"/>
              </w:rPr>
              <w:t xml:space="preserve">Medicamentos </w:t>
            </w:r>
            <w:r w:rsidRPr="00957995">
              <w:rPr>
                <w:rStyle w:val="Forte"/>
                <w:rFonts w:ascii="Century Gothic" w:hAnsi="Century Gothic"/>
              </w:rPr>
              <w:t>REFERÊNCIA (éticos/biológicos)</w:t>
            </w:r>
            <w:r w:rsidRPr="00957995">
              <w:rPr>
                <w:rFonts w:ascii="Century Gothic" w:hAnsi="Century Gothic"/>
              </w:rPr>
              <w:t xml:space="preserve"> de “A </w:t>
            </w:r>
            <w:proofErr w:type="spellStart"/>
            <w:r w:rsidRPr="00957995">
              <w:rPr>
                <w:rFonts w:ascii="Century Gothic" w:hAnsi="Century Gothic"/>
              </w:rPr>
              <w:t>a</w:t>
            </w:r>
            <w:proofErr w:type="spellEnd"/>
            <w:r w:rsidRPr="00957995">
              <w:rPr>
                <w:rFonts w:ascii="Century Gothic" w:hAnsi="Century Gothic"/>
              </w:rPr>
              <w:t xml:space="preserve"> Z”, descritos no BANCO DE PREÇOS do TRIBUNAL DE CONTAS DO ESTADO DE MINAS GERAIS.</w:t>
            </w:r>
          </w:p>
        </w:tc>
        <w:tc>
          <w:tcPr>
            <w:tcW w:w="1979" w:type="dxa"/>
            <w:vAlign w:val="center"/>
          </w:tcPr>
          <w:p w14:paraId="3514E3ED" w14:textId="3D97FD94" w:rsidR="00627B92" w:rsidRPr="00957995" w:rsidRDefault="00627B92" w:rsidP="00627B92">
            <w:pPr>
              <w:jc w:val="center"/>
              <w:rPr>
                <w:rFonts w:ascii="Century Gothic" w:hAnsi="Century Gothic"/>
              </w:rPr>
            </w:pPr>
            <w:r w:rsidRPr="00957995">
              <w:rPr>
                <w:rFonts w:ascii="Century Gothic" w:hAnsi="Century Gothic"/>
              </w:rPr>
              <w:t>A ser definido em Futuro Processo</w:t>
            </w:r>
          </w:p>
        </w:tc>
        <w:tc>
          <w:tcPr>
            <w:tcW w:w="1901" w:type="dxa"/>
          </w:tcPr>
          <w:p w14:paraId="00ED5FF8" w14:textId="2C201B76" w:rsidR="00627B92" w:rsidRPr="00957995" w:rsidRDefault="00627B92" w:rsidP="00627B92">
            <w:pPr>
              <w:rPr>
                <w:rFonts w:ascii="Century Gothic" w:hAnsi="Century Gothic"/>
              </w:rPr>
            </w:pPr>
            <w:r w:rsidRPr="00957995">
              <w:rPr>
                <w:rFonts w:ascii="Century Gothic" w:hAnsi="Century Gothic"/>
              </w:rPr>
              <w:t>R$</w:t>
            </w:r>
          </w:p>
        </w:tc>
      </w:tr>
      <w:bookmarkEnd w:id="1"/>
    </w:tbl>
    <w:p w14:paraId="64AE8855" w14:textId="77777777" w:rsidR="00D10F2C" w:rsidRDefault="00D10F2C" w:rsidP="000B579A">
      <w:pPr>
        <w:pStyle w:val="NormalWeb"/>
        <w:jc w:val="both"/>
        <w:rPr>
          <w:rFonts w:ascii="Century Gothic" w:hAnsi="Century Gothic"/>
        </w:rPr>
      </w:pPr>
    </w:p>
    <w:sectPr w:rsidR="00D10F2C" w:rsidSect="003737A7">
      <w:headerReference w:type="default" r:id="rId14"/>
      <w:type w:val="continuous"/>
      <w:pgSz w:w="11906" w:h="16838"/>
      <w:pgMar w:top="1701" w:right="1134" w:bottom="1134"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56876" w14:textId="77777777" w:rsidR="00CF0AF8" w:rsidRDefault="00CF0AF8" w:rsidP="00756ACB">
      <w:r>
        <w:separator/>
      </w:r>
    </w:p>
  </w:endnote>
  <w:endnote w:type="continuationSeparator" w:id="0">
    <w:p w14:paraId="10408E4E" w14:textId="77777777" w:rsidR="00CF0AF8" w:rsidRDefault="00CF0AF8" w:rsidP="0075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AEAD6" w14:textId="77777777" w:rsidR="00CF0AF8" w:rsidRDefault="00CF0AF8" w:rsidP="00756ACB">
      <w:r>
        <w:separator/>
      </w:r>
    </w:p>
  </w:footnote>
  <w:footnote w:type="continuationSeparator" w:id="0">
    <w:p w14:paraId="465345FD" w14:textId="77777777" w:rsidR="00CF0AF8" w:rsidRDefault="00CF0AF8" w:rsidP="00756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95D31" w14:textId="46221137" w:rsidR="00A3014E" w:rsidRDefault="003737A7" w:rsidP="003737A7">
    <w:pPr>
      <w:pStyle w:val="Cabealho"/>
      <w:ind w:hanging="1134"/>
    </w:pPr>
    <w:bookmarkStart w:id="2" w:name="_Hlk191458819"/>
    <w:r w:rsidRPr="006E3449">
      <w:rPr>
        <w:noProof/>
      </w:rPr>
      <w:drawing>
        <wp:inline distT="0" distB="0" distL="0" distR="0" wp14:anchorId="72CC4DC1" wp14:editId="075B0D12">
          <wp:extent cx="6766560" cy="1196340"/>
          <wp:effectExtent l="0" t="0" r="0" b="381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2414" cy="1197375"/>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017BA"/>
    <w:multiLevelType w:val="hybridMultilevel"/>
    <w:tmpl w:val="EFC8720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1CD55BC8"/>
    <w:multiLevelType w:val="multilevel"/>
    <w:tmpl w:val="B68220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7C5"/>
    <w:rsid w:val="00000F28"/>
    <w:rsid w:val="000148D0"/>
    <w:rsid w:val="00042F2E"/>
    <w:rsid w:val="0004513B"/>
    <w:rsid w:val="0005521F"/>
    <w:rsid w:val="00085548"/>
    <w:rsid w:val="000A7256"/>
    <w:rsid w:val="000B579A"/>
    <w:rsid w:val="000C47C5"/>
    <w:rsid w:val="000C4F4C"/>
    <w:rsid w:val="000E2D06"/>
    <w:rsid w:val="000E3C82"/>
    <w:rsid w:val="001375B5"/>
    <w:rsid w:val="0018388F"/>
    <w:rsid w:val="001C3BDB"/>
    <w:rsid w:val="001D5D23"/>
    <w:rsid w:val="001D74AB"/>
    <w:rsid w:val="002432AE"/>
    <w:rsid w:val="002518D6"/>
    <w:rsid w:val="002938C0"/>
    <w:rsid w:val="00295F1A"/>
    <w:rsid w:val="002A1857"/>
    <w:rsid w:val="002D5ABB"/>
    <w:rsid w:val="00306959"/>
    <w:rsid w:val="0033484F"/>
    <w:rsid w:val="003737A7"/>
    <w:rsid w:val="003A091B"/>
    <w:rsid w:val="00421D78"/>
    <w:rsid w:val="004A7479"/>
    <w:rsid w:val="004B424F"/>
    <w:rsid w:val="004B6884"/>
    <w:rsid w:val="004F4A3D"/>
    <w:rsid w:val="00507EFD"/>
    <w:rsid w:val="0052334A"/>
    <w:rsid w:val="00533B31"/>
    <w:rsid w:val="00537C4A"/>
    <w:rsid w:val="005436BE"/>
    <w:rsid w:val="0056313C"/>
    <w:rsid w:val="005931C1"/>
    <w:rsid w:val="005E211B"/>
    <w:rsid w:val="00627B92"/>
    <w:rsid w:val="00663AB5"/>
    <w:rsid w:val="0068296D"/>
    <w:rsid w:val="006A1596"/>
    <w:rsid w:val="006A3AF8"/>
    <w:rsid w:val="0071744F"/>
    <w:rsid w:val="007235DF"/>
    <w:rsid w:val="00752D8D"/>
    <w:rsid w:val="00756ACB"/>
    <w:rsid w:val="007637C7"/>
    <w:rsid w:val="007C2FFF"/>
    <w:rsid w:val="007D03A5"/>
    <w:rsid w:val="007D5057"/>
    <w:rsid w:val="007D6D4C"/>
    <w:rsid w:val="007D7B36"/>
    <w:rsid w:val="007F15F6"/>
    <w:rsid w:val="00811D12"/>
    <w:rsid w:val="008442F9"/>
    <w:rsid w:val="0086140E"/>
    <w:rsid w:val="00873505"/>
    <w:rsid w:val="00886923"/>
    <w:rsid w:val="00895735"/>
    <w:rsid w:val="008A6423"/>
    <w:rsid w:val="008C6190"/>
    <w:rsid w:val="008F703E"/>
    <w:rsid w:val="00910A5A"/>
    <w:rsid w:val="00957995"/>
    <w:rsid w:val="00984AB2"/>
    <w:rsid w:val="00986A93"/>
    <w:rsid w:val="0099188E"/>
    <w:rsid w:val="009A2F15"/>
    <w:rsid w:val="00A0031D"/>
    <w:rsid w:val="00A3014E"/>
    <w:rsid w:val="00A95CBE"/>
    <w:rsid w:val="00AA5B87"/>
    <w:rsid w:val="00AA7F4C"/>
    <w:rsid w:val="00AC6EA3"/>
    <w:rsid w:val="00AE5324"/>
    <w:rsid w:val="00B1178B"/>
    <w:rsid w:val="00B222B1"/>
    <w:rsid w:val="00B25868"/>
    <w:rsid w:val="00B35E26"/>
    <w:rsid w:val="00B36DDE"/>
    <w:rsid w:val="00B97C47"/>
    <w:rsid w:val="00BA2E68"/>
    <w:rsid w:val="00BC4A2C"/>
    <w:rsid w:val="00BE44C7"/>
    <w:rsid w:val="00C26277"/>
    <w:rsid w:val="00C630D9"/>
    <w:rsid w:val="00C96F06"/>
    <w:rsid w:val="00CA1221"/>
    <w:rsid w:val="00CB0967"/>
    <w:rsid w:val="00CC57DB"/>
    <w:rsid w:val="00CF0AF8"/>
    <w:rsid w:val="00D10F2C"/>
    <w:rsid w:val="00D46014"/>
    <w:rsid w:val="00D6513D"/>
    <w:rsid w:val="00DB0D1E"/>
    <w:rsid w:val="00DC6F77"/>
    <w:rsid w:val="00DC79E8"/>
    <w:rsid w:val="00DD765A"/>
    <w:rsid w:val="00E25A9B"/>
    <w:rsid w:val="00E33C41"/>
    <w:rsid w:val="00EA3BF5"/>
    <w:rsid w:val="00F07662"/>
    <w:rsid w:val="00F20FBE"/>
    <w:rsid w:val="00F474B5"/>
    <w:rsid w:val="00FA43A7"/>
    <w:rsid w:val="00FD7D91"/>
    <w:rsid w:val="00FE6D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4F2C2"/>
  <w15:docId w15:val="{9A725748-A9D4-46E2-9FC7-F90FBEB1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7C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56ACB"/>
    <w:pPr>
      <w:tabs>
        <w:tab w:val="center" w:pos="4252"/>
        <w:tab w:val="right" w:pos="8504"/>
      </w:tabs>
    </w:pPr>
  </w:style>
  <w:style w:type="character" w:customStyle="1" w:styleId="CabealhoChar">
    <w:name w:val="Cabeçalho Char"/>
    <w:basedOn w:val="Fontepargpadro"/>
    <w:link w:val="Cabealho"/>
    <w:rsid w:val="00756AC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56ACB"/>
    <w:pPr>
      <w:tabs>
        <w:tab w:val="center" w:pos="4252"/>
        <w:tab w:val="right" w:pos="8504"/>
      </w:tabs>
    </w:pPr>
  </w:style>
  <w:style w:type="character" w:customStyle="1" w:styleId="RodapChar">
    <w:name w:val="Rodapé Char"/>
    <w:basedOn w:val="Fontepargpadro"/>
    <w:link w:val="Rodap"/>
    <w:uiPriority w:val="99"/>
    <w:rsid w:val="00756ACB"/>
    <w:rPr>
      <w:rFonts w:ascii="Times New Roman" w:eastAsia="Times New Roman" w:hAnsi="Times New Roman" w:cs="Times New Roman"/>
      <w:sz w:val="24"/>
      <w:szCs w:val="24"/>
      <w:lang w:eastAsia="pt-BR"/>
    </w:rPr>
  </w:style>
  <w:style w:type="character" w:styleId="Hyperlink">
    <w:name w:val="Hyperlink"/>
    <w:unhideWhenUsed/>
    <w:rsid w:val="00756ACB"/>
    <w:rPr>
      <w:color w:val="0000FF"/>
      <w:u w:val="single"/>
    </w:rPr>
  </w:style>
  <w:style w:type="paragraph" w:styleId="PargrafodaLista">
    <w:name w:val="List Paragraph"/>
    <w:basedOn w:val="Normal"/>
    <w:uiPriority w:val="34"/>
    <w:qFormat/>
    <w:rsid w:val="007D03A5"/>
    <w:pPr>
      <w:ind w:left="720"/>
      <w:contextualSpacing/>
    </w:pPr>
  </w:style>
  <w:style w:type="paragraph" w:styleId="Textodebalo">
    <w:name w:val="Balloon Text"/>
    <w:basedOn w:val="Normal"/>
    <w:link w:val="TextodebaloChar"/>
    <w:uiPriority w:val="99"/>
    <w:semiHidden/>
    <w:unhideWhenUsed/>
    <w:rsid w:val="007D6D4C"/>
    <w:rPr>
      <w:rFonts w:ascii="Segoe UI" w:hAnsi="Segoe UI" w:cs="Segoe UI"/>
      <w:sz w:val="18"/>
      <w:szCs w:val="18"/>
    </w:rPr>
  </w:style>
  <w:style w:type="character" w:customStyle="1" w:styleId="TextodebaloChar">
    <w:name w:val="Texto de balão Char"/>
    <w:basedOn w:val="Fontepargpadro"/>
    <w:link w:val="Textodebalo"/>
    <w:uiPriority w:val="99"/>
    <w:semiHidden/>
    <w:rsid w:val="007D6D4C"/>
    <w:rPr>
      <w:rFonts w:ascii="Segoe UI" w:eastAsia="Times New Roman" w:hAnsi="Segoe UI" w:cs="Segoe UI"/>
      <w:sz w:val="18"/>
      <w:szCs w:val="18"/>
      <w:lang w:eastAsia="pt-BR"/>
    </w:rPr>
  </w:style>
  <w:style w:type="table" w:styleId="Tabelacomgrade">
    <w:name w:val="Table Grid"/>
    <w:basedOn w:val="Tabelanormal"/>
    <w:uiPriority w:val="59"/>
    <w:rsid w:val="000C4F4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295F1A"/>
    <w:rPr>
      <w:color w:val="605E5C"/>
      <w:shd w:val="clear" w:color="auto" w:fill="E1DFDD"/>
    </w:rPr>
  </w:style>
  <w:style w:type="paragraph" w:styleId="Corpodetexto">
    <w:name w:val="Body Text"/>
    <w:basedOn w:val="Normal"/>
    <w:link w:val="CorpodetextoChar"/>
    <w:uiPriority w:val="1"/>
    <w:qFormat/>
    <w:rsid w:val="00A95CBE"/>
    <w:pPr>
      <w:jc w:val="both"/>
    </w:pPr>
    <w:rPr>
      <w:szCs w:val="20"/>
      <w:lang w:val="x-none" w:eastAsia="x-none"/>
    </w:rPr>
  </w:style>
  <w:style w:type="character" w:customStyle="1" w:styleId="CorpodetextoChar">
    <w:name w:val="Corpo de texto Char"/>
    <w:basedOn w:val="Fontepargpadro"/>
    <w:link w:val="Corpodetexto"/>
    <w:uiPriority w:val="1"/>
    <w:rsid w:val="00A95CBE"/>
    <w:rPr>
      <w:rFonts w:ascii="Times New Roman" w:eastAsia="Times New Roman" w:hAnsi="Times New Roman" w:cs="Times New Roman"/>
      <w:sz w:val="24"/>
      <w:szCs w:val="20"/>
      <w:lang w:val="x-none" w:eastAsia="x-none"/>
    </w:rPr>
  </w:style>
  <w:style w:type="paragraph" w:styleId="NormalWeb">
    <w:name w:val="Normal (Web)"/>
    <w:basedOn w:val="Normal"/>
    <w:uiPriority w:val="99"/>
    <w:semiHidden/>
    <w:unhideWhenUsed/>
    <w:rsid w:val="00A95CBE"/>
    <w:pPr>
      <w:spacing w:before="100" w:beforeAutospacing="1" w:after="100" w:afterAutospacing="1"/>
    </w:pPr>
  </w:style>
  <w:style w:type="character" w:styleId="Forte">
    <w:name w:val="Strong"/>
    <w:basedOn w:val="Fontepargpadro"/>
    <w:uiPriority w:val="22"/>
    <w:qFormat/>
    <w:rsid w:val="00A95C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387979">
      <w:bodyDiv w:val="1"/>
      <w:marLeft w:val="0"/>
      <w:marRight w:val="0"/>
      <w:marTop w:val="0"/>
      <w:marBottom w:val="0"/>
      <w:divBdr>
        <w:top w:val="none" w:sz="0" w:space="0" w:color="auto"/>
        <w:left w:val="none" w:sz="0" w:space="0" w:color="auto"/>
        <w:bottom w:val="none" w:sz="0" w:space="0" w:color="auto"/>
        <w:right w:val="none" w:sz="0" w:space="0" w:color="auto"/>
      </w:divBdr>
    </w:div>
    <w:div w:id="1833982881">
      <w:bodyDiv w:val="1"/>
      <w:marLeft w:val="0"/>
      <w:marRight w:val="0"/>
      <w:marTop w:val="0"/>
      <w:marBottom w:val="0"/>
      <w:divBdr>
        <w:top w:val="none" w:sz="0" w:space="0" w:color="auto"/>
        <w:left w:val="none" w:sz="0" w:space="0" w:color="auto"/>
        <w:bottom w:val="none" w:sz="0" w:space="0" w:color="auto"/>
        <w:right w:val="none" w:sz="0" w:space="0" w:color="auto"/>
      </w:divBdr>
    </w:div>
    <w:div w:id="20790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sapvpdepartamento1@gmail.com" TargetMode="External"/><Relationship Id="rId13" Type="http://schemas.openxmlformats.org/officeDocument/2006/relationships/hyperlink" Target="mailto:assessoriacisap@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isapvpdepartamento1@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sapvplicitacao@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isapvp.com.br/" TargetMode="External"/><Relationship Id="rId4" Type="http://schemas.openxmlformats.org/officeDocument/2006/relationships/settings" Target="settings.xml"/><Relationship Id="rId9" Type="http://schemas.openxmlformats.org/officeDocument/2006/relationships/hyperlink" Target="mailto:assessoriacisap@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36F05-B2F4-4FBD-AB0C-8A18F77C5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1045</Words>
  <Characters>5647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2025-03-13T18:20:00Z</cp:lastPrinted>
  <dcterms:created xsi:type="dcterms:W3CDTF">2025-10-14T15:42:00Z</dcterms:created>
  <dcterms:modified xsi:type="dcterms:W3CDTF">2025-10-14T15:47:00Z</dcterms:modified>
</cp:coreProperties>
</file>